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7F5ED4" w14:textId="77777777" w:rsidR="001B655D" w:rsidRDefault="001B655D" w:rsidP="001B655D">
      <w:pPr>
        <w:pStyle w:val="Heading1"/>
      </w:pPr>
      <w:r w:rsidRPr="001B655D">
        <w:t>FAIR and CARE For Information Professionals</w:t>
      </w:r>
    </w:p>
    <w:p w14:paraId="0765D1BF" w14:textId="77777777" w:rsidR="001B655D" w:rsidRPr="001B655D" w:rsidRDefault="001B655D" w:rsidP="001B655D">
      <w:pPr>
        <w:pStyle w:val="Heading1"/>
        <w:rPr>
          <w:i/>
          <w:iCs/>
        </w:rPr>
      </w:pPr>
      <w:r w:rsidRPr="001B655D">
        <w:rPr>
          <w:i/>
          <w:iCs/>
        </w:rPr>
        <w:t>Purpose</w:t>
      </w:r>
    </w:p>
    <w:p w14:paraId="682C40FC" w14:textId="77777777" w:rsidR="001B655D" w:rsidRDefault="001B655D" w:rsidP="001B655D">
      <w:pPr>
        <w:spacing w:line="252" w:lineRule="auto"/>
      </w:pPr>
      <w:r w:rsidRPr="195A556F">
        <w:rPr>
          <w:rFonts w:ascii="Calibri" w:eastAsia="Calibri" w:hAnsi="Calibri" w:cs="Calibri"/>
        </w:rPr>
        <w:t xml:space="preserve">This Records Advice has been prepared to provide ACT Government employees with </w:t>
      </w:r>
      <w:r>
        <w:rPr>
          <w:rFonts w:ascii="Calibri" w:eastAsia="Calibri" w:hAnsi="Calibri" w:cs="Calibri"/>
        </w:rPr>
        <w:t>an introduction to th</w:t>
      </w:r>
      <w:r w:rsidRPr="001B655D">
        <w:rPr>
          <w:rFonts w:ascii="Calibri" w:eastAsia="Calibri" w:hAnsi="Calibri" w:cs="Calibri"/>
        </w:rPr>
        <w:t>e FAIR and CARE princip</w:t>
      </w:r>
      <w:r w:rsidRPr="195A556F">
        <w:rPr>
          <w:rFonts w:ascii="Calibri" w:eastAsia="Calibri" w:hAnsi="Calibri" w:cs="Calibri"/>
        </w:rPr>
        <w:t xml:space="preserve">les </w:t>
      </w:r>
      <w:r>
        <w:rPr>
          <w:rFonts w:ascii="Calibri" w:eastAsia="Calibri" w:hAnsi="Calibri" w:cs="Calibri"/>
        </w:rPr>
        <w:t>for data management</w:t>
      </w:r>
      <w:r w:rsidRPr="195A556F">
        <w:rPr>
          <w:rFonts w:ascii="Calibri" w:eastAsia="Calibri" w:hAnsi="Calibri" w:cs="Calibri"/>
        </w:rPr>
        <w:t xml:space="preserve">. These principles help inform the </w:t>
      </w:r>
      <w:r w:rsidRPr="195A556F">
        <w:rPr>
          <w:rFonts w:ascii="Calibri" w:eastAsia="Calibri" w:hAnsi="Calibri" w:cs="Calibri"/>
          <w:i/>
          <w:iCs/>
        </w:rPr>
        <w:t>Standard for Records and Information Governance</w:t>
      </w:r>
      <w:r w:rsidRPr="195A556F">
        <w:rPr>
          <w:rFonts w:ascii="Calibri" w:eastAsia="Calibri" w:hAnsi="Calibri" w:cs="Calibri"/>
        </w:rPr>
        <w:t xml:space="preserve"> published in 2022. </w:t>
      </w:r>
    </w:p>
    <w:p w14:paraId="04C5F105" w14:textId="77777777" w:rsidR="001B655D" w:rsidRPr="001B655D" w:rsidRDefault="001B655D" w:rsidP="001B655D">
      <w:pPr>
        <w:pStyle w:val="Heading1"/>
        <w:rPr>
          <w:i/>
          <w:iCs/>
        </w:rPr>
      </w:pPr>
      <w:r w:rsidRPr="001B655D">
        <w:rPr>
          <w:i/>
          <w:iCs/>
        </w:rPr>
        <w:t>Background</w:t>
      </w:r>
    </w:p>
    <w:p w14:paraId="38BC0EC1" w14:textId="77777777" w:rsidR="001B655D" w:rsidRDefault="001B655D" w:rsidP="001B655D">
      <w:pPr>
        <w:spacing w:line="252" w:lineRule="auto"/>
      </w:pPr>
      <w:r w:rsidRPr="001B655D">
        <w:rPr>
          <w:rFonts w:ascii="Calibri" w:eastAsia="Calibri" w:hAnsi="Calibri" w:cs="Calibri"/>
        </w:rPr>
        <w:t>FAIR and CARE are acronyms to describe guidance for the management and stewardship of records, information and other data. FAIR principles aim to support discovery, sharing, and reuse of data to maximise its use and reuse. CARE principles are peo</w:t>
      </w:r>
      <w:r w:rsidRPr="195A556F">
        <w:rPr>
          <w:rFonts w:ascii="Calibri" w:eastAsia="Calibri" w:hAnsi="Calibri" w:cs="Calibri"/>
        </w:rPr>
        <w:t xml:space="preserve">ple- and process-oriented and aim to increase </w:t>
      </w:r>
      <w:r>
        <w:rPr>
          <w:rFonts w:ascii="Calibri" w:eastAsia="Calibri" w:hAnsi="Calibri" w:cs="Calibri"/>
        </w:rPr>
        <w:t>First Nations</w:t>
      </w:r>
      <w:r w:rsidRPr="195A556F">
        <w:rPr>
          <w:rFonts w:ascii="Calibri" w:eastAsia="Calibri" w:hAnsi="Calibri" w:cs="Calibri"/>
        </w:rPr>
        <w:t xml:space="preserve"> self-determination and innovation, reali</w:t>
      </w:r>
      <w:r>
        <w:rPr>
          <w:rFonts w:ascii="Calibri" w:eastAsia="Calibri" w:hAnsi="Calibri" w:cs="Calibri"/>
        </w:rPr>
        <w:t>s</w:t>
      </w:r>
      <w:r w:rsidRPr="195A556F">
        <w:rPr>
          <w:rFonts w:ascii="Calibri" w:eastAsia="Calibri" w:hAnsi="Calibri" w:cs="Calibri"/>
        </w:rPr>
        <w:t xml:space="preserve">e opportunities in the knowledge economy, and assert </w:t>
      </w:r>
      <w:r>
        <w:rPr>
          <w:rFonts w:ascii="Calibri" w:eastAsia="Calibri" w:hAnsi="Calibri" w:cs="Calibri"/>
        </w:rPr>
        <w:t>First Nations</w:t>
      </w:r>
      <w:r w:rsidRPr="195A556F">
        <w:rPr>
          <w:rFonts w:ascii="Calibri" w:eastAsia="Calibri" w:hAnsi="Calibri" w:cs="Calibri"/>
        </w:rPr>
        <w:t xml:space="preserve"> rights and greater control to create value from </w:t>
      </w:r>
      <w:r>
        <w:rPr>
          <w:rFonts w:ascii="Calibri" w:eastAsia="Calibri" w:hAnsi="Calibri" w:cs="Calibri"/>
        </w:rPr>
        <w:t>First Nations</w:t>
      </w:r>
      <w:r w:rsidRPr="195A556F">
        <w:rPr>
          <w:rFonts w:ascii="Calibri" w:eastAsia="Calibri" w:hAnsi="Calibri" w:cs="Calibri"/>
        </w:rPr>
        <w:t xml:space="preserve"> data grounded in </w:t>
      </w:r>
      <w:r>
        <w:rPr>
          <w:rFonts w:ascii="Calibri" w:eastAsia="Calibri" w:hAnsi="Calibri" w:cs="Calibri"/>
        </w:rPr>
        <w:t>First Nations</w:t>
      </w:r>
      <w:r w:rsidRPr="195A556F">
        <w:rPr>
          <w:rFonts w:ascii="Calibri" w:eastAsia="Calibri" w:hAnsi="Calibri" w:cs="Calibri"/>
        </w:rPr>
        <w:t xml:space="preserve"> worldviews.</w:t>
      </w:r>
    </w:p>
    <w:p w14:paraId="218ED5F6" w14:textId="77777777" w:rsidR="001B655D" w:rsidRDefault="001B655D" w:rsidP="001B655D">
      <w:pPr>
        <w:spacing w:line="252" w:lineRule="auto"/>
      </w:pPr>
      <w:r>
        <w:rPr>
          <w:rFonts w:ascii="Calibri" w:eastAsia="Calibri" w:hAnsi="Calibri" w:cs="Calibri"/>
        </w:rPr>
        <w:t>Together the</w:t>
      </w:r>
      <w:r w:rsidRPr="195A556F">
        <w:rPr>
          <w:rFonts w:ascii="Calibri" w:eastAsia="Calibri" w:hAnsi="Calibri" w:cs="Calibri"/>
        </w:rPr>
        <w:t xml:space="preserve"> principles aim to support strategic management of recordkeeping processes by providing a framework to facilitate increased data and information sharing, </w:t>
      </w:r>
      <w:r>
        <w:rPr>
          <w:rFonts w:ascii="Calibri" w:eastAsia="Calibri" w:hAnsi="Calibri" w:cs="Calibri"/>
        </w:rPr>
        <w:t xml:space="preserve">while also acknowledging </w:t>
      </w:r>
      <w:r w:rsidRPr="195A556F">
        <w:rPr>
          <w:rFonts w:ascii="Calibri" w:eastAsia="Calibri" w:hAnsi="Calibri" w:cs="Calibri"/>
        </w:rPr>
        <w:t xml:space="preserve">power differentials and historical contexts. </w:t>
      </w:r>
      <w:r>
        <w:rPr>
          <w:rFonts w:ascii="Calibri" w:eastAsia="Calibri" w:hAnsi="Calibri" w:cs="Calibri"/>
        </w:rPr>
        <w:t xml:space="preserve">The CARE principles in particular support the concept of </w:t>
      </w:r>
      <w:r w:rsidRPr="195A556F">
        <w:rPr>
          <w:rFonts w:ascii="Calibri" w:eastAsia="Calibri" w:hAnsi="Calibri" w:cs="Calibri"/>
        </w:rPr>
        <w:t>Indigenous Data Sovereignty</w:t>
      </w:r>
      <w:r>
        <w:rPr>
          <w:rFonts w:ascii="Calibri" w:eastAsia="Calibri" w:hAnsi="Calibri" w:cs="Calibri"/>
        </w:rPr>
        <w:t>, which</w:t>
      </w:r>
      <w:r w:rsidRPr="195A556F">
        <w:rPr>
          <w:rFonts w:ascii="Calibri" w:eastAsia="Calibri" w:hAnsi="Calibri" w:cs="Calibri"/>
        </w:rPr>
        <w:t xml:space="preserve"> draws on the United Nations Declaration on the Rights of Indigenous Peoples (UNDRIP)</w:t>
      </w:r>
      <w:r>
        <w:rPr>
          <w:rFonts w:ascii="Calibri" w:eastAsia="Calibri" w:hAnsi="Calibri" w:cs="Calibri"/>
        </w:rPr>
        <w:t xml:space="preserve">. The Declaration </w:t>
      </w:r>
      <w:r w:rsidRPr="195A556F">
        <w:rPr>
          <w:rFonts w:ascii="Calibri" w:eastAsia="Calibri" w:hAnsi="Calibri" w:cs="Calibri"/>
        </w:rPr>
        <w:t xml:space="preserve">reaffirms the rights of </w:t>
      </w:r>
      <w:r>
        <w:rPr>
          <w:rFonts w:ascii="Calibri" w:eastAsia="Calibri" w:hAnsi="Calibri" w:cs="Calibri"/>
        </w:rPr>
        <w:t>First Nations</w:t>
      </w:r>
      <w:r w:rsidRPr="195A556F">
        <w:rPr>
          <w:rFonts w:ascii="Calibri" w:eastAsia="Calibri" w:hAnsi="Calibri" w:cs="Calibri"/>
        </w:rPr>
        <w:t xml:space="preserve"> Peoples to control data about their peoples, lands, and resources. This includes data, information, and knowledge, in any format, that impact Indigenous Peoples, nations, and communities at the collective and individual levels; data about their resources and environments, data about them as Individuals, and data about them as collectives.</w:t>
      </w:r>
    </w:p>
    <w:p w14:paraId="7FB2FBA8" w14:textId="19F4D037" w:rsidR="001B655D" w:rsidRPr="001B655D" w:rsidRDefault="001B655D" w:rsidP="001B655D">
      <w:pPr>
        <w:pStyle w:val="Heading3"/>
        <w:ind w:left="0"/>
        <w:jc w:val="left"/>
        <w:rPr>
          <w:rFonts w:asciiTheme="majorHAnsi" w:eastAsiaTheme="majorEastAsia" w:hAnsiTheme="majorHAnsi" w:cstheme="majorBidi"/>
          <w:b/>
          <w:i/>
          <w:iCs/>
          <w:color w:val="auto"/>
          <w:sz w:val="24"/>
          <w:szCs w:val="26"/>
        </w:rPr>
      </w:pPr>
      <w:r w:rsidRPr="001B655D">
        <w:rPr>
          <w:rFonts w:asciiTheme="majorHAnsi" w:eastAsiaTheme="majorEastAsia" w:hAnsiTheme="majorHAnsi" w:cstheme="majorBidi"/>
          <w:b/>
          <w:i/>
          <w:iCs/>
          <w:color w:val="auto"/>
          <w:sz w:val="24"/>
          <w:szCs w:val="26"/>
        </w:rPr>
        <w:t xml:space="preserve">FAIR – Principles for data management and stewardship </w:t>
      </w:r>
    </w:p>
    <w:p w14:paraId="106D4C34" w14:textId="77777777" w:rsidR="001B655D" w:rsidRPr="001B655D" w:rsidRDefault="001B655D" w:rsidP="001B655D">
      <w:pPr>
        <w:tabs>
          <w:tab w:val="left" w:pos="993"/>
        </w:tabs>
        <w:spacing w:line="252" w:lineRule="auto"/>
        <w:ind w:left="66" w:hanging="66"/>
        <w:rPr>
          <w:rFonts w:ascii="Calibri" w:eastAsia="Calibri" w:hAnsi="Calibri" w:cs="Calibri"/>
        </w:rPr>
      </w:pPr>
      <w:r w:rsidRPr="195A556F">
        <w:rPr>
          <w:rFonts w:ascii="Calibri" w:eastAsia="Calibri" w:hAnsi="Calibri" w:cs="Calibri"/>
          <w:b/>
          <w:bCs/>
        </w:rPr>
        <w:t>Findable</w:t>
      </w:r>
      <w:r w:rsidRPr="195A556F">
        <w:rPr>
          <w:rFonts w:ascii="Calibri" w:eastAsia="Calibri" w:hAnsi="Calibri" w:cs="Calibri"/>
        </w:rPr>
        <w:t xml:space="preserve"> – Provide adequate metadata to describe data that enables discoverability via local or online portals.</w:t>
      </w:r>
    </w:p>
    <w:p w14:paraId="4C111738" w14:textId="77777777" w:rsidR="001B655D" w:rsidRDefault="001B655D" w:rsidP="001B655D">
      <w:pPr>
        <w:spacing w:line="252" w:lineRule="auto"/>
        <w:ind w:left="66" w:hanging="66"/>
      </w:pPr>
      <w:r w:rsidRPr="195A556F">
        <w:rPr>
          <w:rFonts w:ascii="Calibri" w:eastAsia="Calibri" w:hAnsi="Calibri" w:cs="Calibri"/>
          <w:b/>
          <w:bCs/>
        </w:rPr>
        <w:t>Accessible</w:t>
      </w:r>
      <w:r w:rsidRPr="195A556F">
        <w:rPr>
          <w:rFonts w:ascii="Calibri" w:eastAsia="Calibri" w:hAnsi="Calibri" w:cs="Calibri"/>
        </w:rPr>
        <w:t xml:space="preserve"> – Data may be made open using standardised protocols. When data is sensitive and cannot be made open due to privacy, legal, or ethical matters, aim to provide clarity and transparency around the conditions governing access and reuse. Providing metadata for sensitive data can enhance discoverability without revealing the sensitive content and can include description about how specific conditions or arrangements can be made to access the data.</w:t>
      </w:r>
    </w:p>
    <w:p w14:paraId="46B49F40" w14:textId="77777777" w:rsidR="001B655D" w:rsidRDefault="001B655D" w:rsidP="001B655D">
      <w:pPr>
        <w:spacing w:line="252" w:lineRule="auto"/>
        <w:ind w:left="66" w:hanging="66"/>
      </w:pPr>
      <w:r w:rsidRPr="195A556F">
        <w:rPr>
          <w:rFonts w:ascii="Calibri" w:eastAsia="Calibri" w:hAnsi="Calibri" w:cs="Calibri"/>
          <w:b/>
          <w:bCs/>
        </w:rPr>
        <w:t>Interoperable</w:t>
      </w:r>
      <w:r w:rsidRPr="195A556F">
        <w:rPr>
          <w:rFonts w:ascii="Calibri" w:eastAsia="Calibri" w:hAnsi="Calibri" w:cs="Calibri"/>
        </w:rPr>
        <w:t xml:space="preserve"> – Data and metadata should aim to be supported and understood by using community-acceptable languages, formats, and vocabulary. The use of metadata identifiers helps to describe relationships between other data.</w:t>
      </w:r>
    </w:p>
    <w:p w14:paraId="1A4E4746" w14:textId="77777777" w:rsidR="001B655D" w:rsidRDefault="001B655D" w:rsidP="001B655D">
      <w:pPr>
        <w:spacing w:line="252" w:lineRule="auto"/>
        <w:ind w:left="66" w:hanging="66"/>
      </w:pPr>
      <w:r w:rsidRPr="195A556F">
        <w:rPr>
          <w:rFonts w:ascii="Calibri" w:eastAsia="Calibri" w:hAnsi="Calibri" w:cs="Calibri"/>
          <w:b/>
          <w:bCs/>
        </w:rPr>
        <w:t>Reusable</w:t>
      </w:r>
      <w:r w:rsidRPr="195A556F">
        <w:rPr>
          <w:rFonts w:ascii="Calibri" w:eastAsia="Calibri" w:hAnsi="Calibri" w:cs="Calibri"/>
        </w:rPr>
        <w:t xml:space="preserve"> – To enhance the reuse of data, elements such as permission of use and origination need to be described. This is achieved by providing metadata that indicates the data’s licence terms and provenance. This gives users the confidence to legally use the data, and that it is a trustworthy source of information. Description within the metadata allows this information about the data to be read by machines and streamlines user’s ability to reuse the data.</w:t>
      </w:r>
    </w:p>
    <w:p w14:paraId="481106EB" w14:textId="77777777" w:rsidR="001B655D" w:rsidRDefault="001B655D" w:rsidP="001B655D">
      <w:pPr>
        <w:spacing w:line="252" w:lineRule="auto"/>
        <w:ind w:right="4320"/>
      </w:pPr>
      <w:r w:rsidRPr="195A556F">
        <w:rPr>
          <w:rFonts w:ascii="Calibri" w:eastAsia="Calibri" w:hAnsi="Calibri" w:cs="Calibri"/>
        </w:rPr>
        <w:t xml:space="preserve">More details can be found </w:t>
      </w:r>
      <w:hyperlink r:id="rId8">
        <w:r w:rsidRPr="195A556F">
          <w:rPr>
            <w:rStyle w:val="Hyperlink"/>
            <w:rFonts w:ascii="Calibri" w:eastAsia="Calibri" w:hAnsi="Calibri" w:cs="Calibri"/>
          </w:rPr>
          <w:t>here</w:t>
        </w:r>
      </w:hyperlink>
      <w:r w:rsidRPr="195A556F">
        <w:rPr>
          <w:rFonts w:ascii="Calibri" w:eastAsia="Calibri" w:hAnsi="Calibri" w:cs="Calibri"/>
        </w:rPr>
        <w:t>.</w:t>
      </w:r>
    </w:p>
    <w:p w14:paraId="504351F1" w14:textId="77777777" w:rsidR="001B655D" w:rsidRPr="001B655D" w:rsidRDefault="001B655D" w:rsidP="001B655D">
      <w:pPr>
        <w:pStyle w:val="Heading3"/>
        <w:keepNext/>
        <w:ind w:left="0"/>
        <w:jc w:val="left"/>
        <w:rPr>
          <w:rFonts w:asciiTheme="majorHAnsi" w:eastAsiaTheme="majorEastAsia" w:hAnsiTheme="majorHAnsi" w:cstheme="majorBidi"/>
          <w:b/>
          <w:i/>
          <w:iCs/>
          <w:color w:val="auto"/>
          <w:sz w:val="24"/>
          <w:szCs w:val="26"/>
        </w:rPr>
      </w:pPr>
      <w:r w:rsidRPr="001B655D">
        <w:rPr>
          <w:rFonts w:asciiTheme="majorHAnsi" w:eastAsiaTheme="majorEastAsia" w:hAnsiTheme="majorHAnsi" w:cstheme="majorBidi"/>
          <w:b/>
          <w:i/>
          <w:iCs/>
          <w:color w:val="auto"/>
          <w:sz w:val="24"/>
          <w:szCs w:val="26"/>
        </w:rPr>
        <w:lastRenderedPageBreak/>
        <w:t>CARE – Principles for Indigenous Data Governance</w:t>
      </w:r>
    </w:p>
    <w:p w14:paraId="41AB6BF5" w14:textId="77777777" w:rsidR="001B655D" w:rsidRDefault="001B655D" w:rsidP="001B655D">
      <w:pPr>
        <w:spacing w:line="252" w:lineRule="auto"/>
        <w:ind w:left="66" w:hanging="66"/>
      </w:pPr>
      <w:r w:rsidRPr="195A556F">
        <w:rPr>
          <w:rFonts w:ascii="Calibri" w:eastAsia="Calibri" w:hAnsi="Calibri" w:cs="Calibri"/>
          <w:b/>
          <w:bCs/>
        </w:rPr>
        <w:t>Collective Benefit</w:t>
      </w:r>
      <w:r w:rsidRPr="195A556F">
        <w:rPr>
          <w:rFonts w:ascii="Calibri" w:eastAsia="Calibri" w:hAnsi="Calibri" w:cs="Calibri"/>
        </w:rPr>
        <w:t xml:space="preserve"> – How the design and function of data consider ways that can enable Indigenous Peoples to derive benefit from the data.</w:t>
      </w:r>
    </w:p>
    <w:p w14:paraId="685974F0" w14:textId="77777777" w:rsidR="001B655D" w:rsidRDefault="001B655D" w:rsidP="001B655D">
      <w:pPr>
        <w:spacing w:line="252" w:lineRule="auto"/>
        <w:ind w:left="66" w:hanging="66"/>
      </w:pPr>
      <w:r w:rsidRPr="195A556F">
        <w:rPr>
          <w:rFonts w:ascii="Calibri" w:eastAsia="Calibri" w:hAnsi="Calibri" w:cs="Calibri"/>
          <w:b/>
          <w:bCs/>
        </w:rPr>
        <w:t>Authority to Control</w:t>
      </w:r>
      <w:r w:rsidRPr="195A556F">
        <w:rPr>
          <w:rFonts w:ascii="Calibri" w:eastAsia="Calibri" w:hAnsi="Calibri" w:cs="Calibri"/>
        </w:rPr>
        <w:t xml:space="preserve"> – Indigenous People’s authority to control Indigenous data must be empowered. The aim is to enable Indigenous data governance to facilitate Indigenous Peoples and governing bodies to determine their rights and interests regarding Indigenous lands, territories, resources, knowledges, and geographical indicators, and how they are represented and identified within data.</w:t>
      </w:r>
    </w:p>
    <w:p w14:paraId="4AE7FA59" w14:textId="77777777" w:rsidR="001B655D" w:rsidRDefault="001B655D" w:rsidP="001B655D">
      <w:pPr>
        <w:spacing w:line="252" w:lineRule="auto"/>
        <w:ind w:left="66" w:hanging="66"/>
      </w:pPr>
      <w:r w:rsidRPr="195A556F">
        <w:rPr>
          <w:rFonts w:ascii="Calibri" w:eastAsia="Calibri" w:hAnsi="Calibri" w:cs="Calibri"/>
          <w:b/>
          <w:bCs/>
        </w:rPr>
        <w:t>Responsibility</w:t>
      </w:r>
      <w:r w:rsidRPr="195A556F">
        <w:rPr>
          <w:rFonts w:ascii="Calibri" w:eastAsia="Calibri" w:hAnsi="Calibri" w:cs="Calibri"/>
        </w:rPr>
        <w:t xml:space="preserve"> – The majority of Indigenous data is controlled by non-Indigenous institutions, and it is the responsibility of information professionals to engage respectfully with Indigenous communities to ensure that Indigenous data supports capacity development, increased community data capabilities, and the strengthening of Indigenous languages and cultures.</w:t>
      </w:r>
    </w:p>
    <w:p w14:paraId="407BF608" w14:textId="77777777" w:rsidR="001B655D" w:rsidRDefault="001B655D" w:rsidP="001B655D">
      <w:pPr>
        <w:spacing w:line="252" w:lineRule="auto"/>
        <w:ind w:left="66" w:hanging="66"/>
      </w:pPr>
      <w:r w:rsidRPr="195A556F">
        <w:rPr>
          <w:rFonts w:ascii="Calibri" w:eastAsia="Calibri" w:hAnsi="Calibri" w:cs="Calibri"/>
          <w:b/>
          <w:bCs/>
        </w:rPr>
        <w:t>Ethics</w:t>
      </w:r>
      <w:r w:rsidRPr="195A556F">
        <w:rPr>
          <w:rFonts w:ascii="Calibri" w:eastAsia="Calibri" w:hAnsi="Calibri" w:cs="Calibri"/>
        </w:rPr>
        <w:t xml:space="preserve"> – Indigenous Peoples’ ethics should inform the use of data at all stages of the data life cycle and across the data ecosystem. The aims are to minimize harm, maximize benefits, promote justice, and allow for future use. The aims of metadata in this case should describe the data’s provenance and purpose, and any constraints or obligations in reuse, including of issues of consent.</w:t>
      </w:r>
    </w:p>
    <w:p w14:paraId="6E9A789B" w14:textId="77777777" w:rsidR="001B655D" w:rsidRDefault="001B655D" w:rsidP="001B655D">
      <w:pPr>
        <w:spacing w:line="252" w:lineRule="auto"/>
      </w:pPr>
      <w:r w:rsidRPr="195A556F">
        <w:rPr>
          <w:rFonts w:ascii="Calibri" w:eastAsia="Calibri" w:hAnsi="Calibri" w:cs="Calibri"/>
        </w:rPr>
        <w:t xml:space="preserve">More details can be found </w:t>
      </w:r>
      <w:hyperlink r:id="rId9">
        <w:r w:rsidRPr="195A556F">
          <w:rPr>
            <w:rStyle w:val="Hyperlink"/>
            <w:rFonts w:ascii="Calibri" w:eastAsia="Calibri" w:hAnsi="Calibri" w:cs="Calibri"/>
          </w:rPr>
          <w:t>here</w:t>
        </w:r>
      </w:hyperlink>
      <w:r w:rsidRPr="195A556F">
        <w:rPr>
          <w:rFonts w:ascii="Calibri" w:eastAsia="Calibri" w:hAnsi="Calibri" w:cs="Calibri"/>
        </w:rPr>
        <w:t xml:space="preserve">. </w:t>
      </w:r>
    </w:p>
    <w:p w14:paraId="3711BB22" w14:textId="77777777" w:rsidR="001B655D" w:rsidRPr="001B655D" w:rsidRDefault="001B655D" w:rsidP="001B655D">
      <w:pPr>
        <w:pStyle w:val="Heading1"/>
        <w:rPr>
          <w:i/>
          <w:iCs/>
        </w:rPr>
      </w:pPr>
      <w:r w:rsidRPr="001B655D">
        <w:rPr>
          <w:i/>
          <w:iCs/>
        </w:rPr>
        <w:t>Recommendation for implementation</w:t>
      </w:r>
    </w:p>
    <w:p w14:paraId="3E44E5B0" w14:textId="77777777" w:rsidR="001B655D" w:rsidRPr="0018335A" w:rsidRDefault="001B655D" w:rsidP="001B655D">
      <w:r>
        <w:t xml:space="preserve">The ACT’s Standard for Records and Information Governance suggests that ACT Government agencies consider how FAIR and CARE principles can be applied to their records, information and data holdings. Additional guidance is available from </w:t>
      </w:r>
      <w:proofErr w:type="gramStart"/>
      <w:r>
        <w:t>a number of</w:t>
      </w:r>
      <w:proofErr w:type="gramEnd"/>
      <w:r>
        <w:t xml:space="preserve"> sources to determine how and when to apply FAIR and CARE.</w:t>
      </w:r>
    </w:p>
    <w:p w14:paraId="742C5EB6" w14:textId="77777777" w:rsidR="001B655D" w:rsidRPr="001B655D" w:rsidRDefault="001B655D" w:rsidP="001B655D">
      <w:pPr>
        <w:pStyle w:val="Heading3"/>
        <w:ind w:left="0"/>
        <w:jc w:val="left"/>
        <w:rPr>
          <w:rFonts w:asciiTheme="majorHAnsi" w:eastAsiaTheme="majorEastAsia" w:hAnsiTheme="majorHAnsi" w:cstheme="majorBidi"/>
          <w:b/>
          <w:i/>
          <w:iCs/>
          <w:color w:val="auto"/>
          <w:sz w:val="24"/>
          <w:szCs w:val="26"/>
        </w:rPr>
      </w:pPr>
      <w:r w:rsidRPr="001B655D">
        <w:rPr>
          <w:rFonts w:asciiTheme="majorHAnsi" w:eastAsiaTheme="majorEastAsia" w:hAnsiTheme="majorHAnsi" w:cstheme="majorBidi"/>
          <w:b/>
          <w:i/>
          <w:iCs/>
          <w:color w:val="auto"/>
          <w:sz w:val="24"/>
          <w:szCs w:val="26"/>
        </w:rPr>
        <w:t>FAIR</w:t>
      </w:r>
    </w:p>
    <w:p w14:paraId="653A5AC9" w14:textId="3FC71EA2" w:rsidR="001B655D" w:rsidRDefault="001B655D" w:rsidP="001B655D">
      <w:pPr>
        <w:spacing w:line="252" w:lineRule="auto"/>
      </w:pPr>
      <w:r w:rsidRPr="195A556F">
        <w:rPr>
          <w:rFonts w:ascii="Calibri" w:eastAsia="Calibri" w:hAnsi="Calibri" w:cs="Calibri"/>
        </w:rPr>
        <w:t>The Data Research Alliance (RDA) published</w:t>
      </w:r>
      <w:r w:rsidRPr="195A556F">
        <w:rPr>
          <w:rFonts w:ascii="Calibri" w:eastAsia="Calibri" w:hAnsi="Calibri" w:cs="Calibri"/>
          <w:i/>
          <w:iCs/>
        </w:rPr>
        <w:t xml:space="preserve"> </w:t>
      </w:r>
      <w:hyperlink r:id="rId10" w:anchor=".YiEcgejMK01">
        <w:r w:rsidRPr="195A556F">
          <w:rPr>
            <w:rStyle w:val="Hyperlink"/>
            <w:rFonts w:ascii="Calibri" w:eastAsia="Calibri" w:hAnsi="Calibri" w:cs="Calibri"/>
            <w:i/>
            <w:iCs/>
          </w:rPr>
          <w:t>FAIR Data Maturity Model Specification and Guidelines 2020</w:t>
        </w:r>
      </w:hyperlink>
      <w:r w:rsidRPr="195A556F">
        <w:rPr>
          <w:rFonts w:ascii="Calibri" w:eastAsia="Calibri" w:hAnsi="Calibri" w:cs="Calibri"/>
        </w:rPr>
        <w:t xml:space="preserve">, which provides a flexible framework for the </w:t>
      </w:r>
      <w:r w:rsidRPr="195A556F">
        <w:rPr>
          <w:rFonts w:ascii="Calibri" w:eastAsia="Calibri" w:hAnsi="Calibri" w:cs="Calibri"/>
          <w:b/>
          <w:bCs/>
        </w:rPr>
        <w:t>FAIR</w:t>
      </w:r>
      <w:r w:rsidRPr="195A556F">
        <w:rPr>
          <w:rFonts w:ascii="Calibri" w:eastAsia="Calibri" w:hAnsi="Calibri" w:cs="Calibri"/>
        </w:rPr>
        <w:t xml:space="preserve"> data maturity model. The guideline document provides </w:t>
      </w:r>
      <w:r>
        <w:rPr>
          <w:rFonts w:ascii="Calibri" w:eastAsia="Calibri" w:hAnsi="Calibri" w:cs="Calibri"/>
        </w:rPr>
        <w:t xml:space="preserve">additional details outlining indicators of success in implementing each of the FAIR elements. These include ensuring that metadata is identified by a persistent </w:t>
      </w:r>
      <w:proofErr w:type="gramStart"/>
      <w:r>
        <w:rPr>
          <w:rFonts w:ascii="Calibri" w:eastAsia="Calibri" w:hAnsi="Calibri" w:cs="Calibri"/>
        </w:rPr>
        <w:t>identifier,</w:t>
      </w:r>
      <w:r w:rsidR="001E53CC">
        <w:rPr>
          <w:rFonts w:ascii="Calibri" w:eastAsia="Calibri" w:hAnsi="Calibri" w:cs="Calibri"/>
        </w:rPr>
        <w:t xml:space="preserve"> </w:t>
      </w:r>
      <w:r>
        <w:rPr>
          <w:rFonts w:ascii="Calibri" w:eastAsia="Calibri" w:hAnsi="Calibri" w:cs="Calibri"/>
        </w:rPr>
        <w:t>and</w:t>
      </w:r>
      <w:proofErr w:type="gramEnd"/>
      <w:r>
        <w:rPr>
          <w:rFonts w:ascii="Calibri" w:eastAsia="Calibri" w:hAnsi="Calibri" w:cs="Calibri"/>
        </w:rPr>
        <w:t xml:space="preserve"> providing rich metadata about datasets to support broad discovery.  </w:t>
      </w:r>
    </w:p>
    <w:p w14:paraId="0AB9B5CD" w14:textId="77777777" w:rsidR="001B655D" w:rsidRPr="001B655D" w:rsidRDefault="001B655D" w:rsidP="001B655D">
      <w:pPr>
        <w:pStyle w:val="Heading3"/>
        <w:ind w:left="0"/>
        <w:jc w:val="left"/>
        <w:rPr>
          <w:rFonts w:asciiTheme="majorHAnsi" w:eastAsiaTheme="majorEastAsia" w:hAnsiTheme="majorHAnsi" w:cstheme="majorBidi"/>
          <w:b/>
          <w:i/>
          <w:iCs/>
          <w:color w:val="auto"/>
          <w:sz w:val="24"/>
          <w:szCs w:val="26"/>
        </w:rPr>
      </w:pPr>
      <w:r w:rsidRPr="001B655D">
        <w:rPr>
          <w:rFonts w:asciiTheme="majorHAnsi" w:eastAsiaTheme="majorEastAsia" w:hAnsiTheme="majorHAnsi" w:cstheme="majorBidi"/>
          <w:b/>
          <w:i/>
          <w:iCs/>
          <w:color w:val="auto"/>
          <w:sz w:val="24"/>
          <w:szCs w:val="26"/>
        </w:rPr>
        <w:t>CARE</w:t>
      </w:r>
    </w:p>
    <w:p w14:paraId="118038B7" w14:textId="77777777" w:rsidR="001B655D" w:rsidRDefault="00E57D26" w:rsidP="001B655D">
      <w:hyperlink r:id="rId11" w:anchor=":~:text=What%20is%20Open%20Government%20Data,quantities%20of%20data%20and%20information.">
        <w:r w:rsidR="001B655D" w:rsidRPr="195A556F">
          <w:rPr>
            <w:rStyle w:val="Hyperlink"/>
            <w:rFonts w:ascii="Calibri" w:eastAsia="Calibri" w:hAnsi="Calibri" w:cs="Calibri"/>
          </w:rPr>
          <w:t>Open Government Data</w:t>
        </w:r>
      </w:hyperlink>
      <w:r w:rsidR="001B655D" w:rsidRPr="195A556F">
        <w:rPr>
          <w:rFonts w:ascii="Calibri" w:eastAsia="Calibri" w:hAnsi="Calibri" w:cs="Calibri"/>
        </w:rPr>
        <w:t xml:space="preserve"> aims to increase government transparency, accountability, and value creation, and is part of a greater movement towards innovation and digital transformation.</w:t>
      </w:r>
      <w:r w:rsidR="001B655D">
        <w:rPr>
          <w:rFonts w:ascii="Calibri" w:eastAsia="Calibri" w:hAnsi="Calibri" w:cs="Calibri"/>
        </w:rPr>
        <w:t xml:space="preserve"> The </w:t>
      </w:r>
      <w:hyperlink r:id="rId12" w:history="1">
        <w:r w:rsidR="001B655D" w:rsidRPr="00E209A3">
          <w:rPr>
            <w:rStyle w:val="Hyperlink"/>
            <w:rFonts w:ascii="Calibri" w:eastAsia="Calibri" w:hAnsi="Calibri" w:cs="Calibri"/>
          </w:rPr>
          <w:t>Global Indigenous Data Alliance provides additional guidance</w:t>
        </w:r>
      </w:hyperlink>
      <w:r w:rsidR="001B655D">
        <w:rPr>
          <w:rFonts w:ascii="Calibri" w:eastAsia="Calibri" w:hAnsi="Calibri" w:cs="Calibri"/>
        </w:rPr>
        <w:t xml:space="preserve"> for understanding and applying the CARE principles. This includes the principle that </w:t>
      </w:r>
      <w:r w:rsidR="001B655D" w:rsidRPr="00E209A3">
        <w:rPr>
          <w:rFonts w:ascii="Calibri" w:eastAsia="Calibri" w:hAnsi="Calibri" w:cs="Calibri"/>
        </w:rPr>
        <w:t>Governments and institutions must actively support the use and reuse of data by Indigenous nations and communities by facilitating the establishment of the foundations for Indigenous innovation, value generation, and the promotion of local self-determined development processes</w:t>
      </w:r>
      <w:r w:rsidR="001B655D">
        <w:rPr>
          <w:rFonts w:ascii="Calibri" w:eastAsia="Calibri" w:hAnsi="Calibri" w:cs="Calibri"/>
        </w:rPr>
        <w:t xml:space="preserve">. </w:t>
      </w:r>
      <w:r w:rsidR="001B655D" w:rsidRPr="195A556F">
        <w:rPr>
          <w:rFonts w:ascii="Calibri" w:eastAsia="Calibri" w:hAnsi="Calibri" w:cs="Calibri"/>
        </w:rPr>
        <w:t xml:space="preserve"> </w:t>
      </w:r>
    </w:p>
    <w:p w14:paraId="627656CD" w14:textId="77777777" w:rsidR="007C3780" w:rsidRPr="007B645D" w:rsidRDefault="007C3780" w:rsidP="001B655D"/>
    <w:sectPr w:rsidR="007C3780" w:rsidRPr="007B645D" w:rsidSect="00105161">
      <w:footerReference w:type="default" r:id="rId13"/>
      <w:headerReference w:type="first" r:id="rId14"/>
      <w:footerReference w:type="first" r:id="rId15"/>
      <w:pgSz w:w="11906" w:h="16838"/>
      <w:pgMar w:top="1440" w:right="1274" w:bottom="1440" w:left="1440" w:header="39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BF0FC" w14:textId="77777777" w:rsidR="00602724" w:rsidRDefault="00602724" w:rsidP="007C3780">
      <w:r>
        <w:separator/>
      </w:r>
    </w:p>
  </w:endnote>
  <w:endnote w:type="continuationSeparator" w:id="0">
    <w:p w14:paraId="68A33A8E" w14:textId="77777777" w:rsidR="00602724" w:rsidRDefault="00602724" w:rsidP="007C3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w:panose1 w:val="000005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F1E0B" w14:textId="77777777" w:rsidR="001E53CC" w:rsidRDefault="001E53CC" w:rsidP="001E53CC">
    <w:pPr>
      <w:spacing w:after="0"/>
      <w:rPr>
        <w:rFonts w:eastAsia="MS PGothic" w:cs="Calibri"/>
        <w:color w:val="0563C1"/>
        <w:u w:val="single"/>
      </w:rPr>
    </w:pPr>
    <w:hyperlink r:id="rId1" w:history="1">
      <w:r w:rsidRPr="006B2A5D">
        <w:rPr>
          <w:rFonts w:eastAsia="MS PGothic" w:cs="Calibri"/>
          <w:color w:val="0563C1"/>
          <w:u w:val="single"/>
        </w:rPr>
        <w:t>www.territoryrecords.act.gov.au</w:t>
      </w:r>
    </w:hyperlink>
    <w:r>
      <w:rPr>
        <w:rFonts w:eastAsia="MS PGothic" w:cs="Calibri"/>
        <w:color w:val="0563C1"/>
        <w:u w:val="single"/>
      </w:rPr>
      <w:t xml:space="preserve"> </w:t>
    </w:r>
  </w:p>
  <w:p w14:paraId="220BAA25" w14:textId="12047035" w:rsidR="001E53CC" w:rsidRPr="001E53CC" w:rsidRDefault="001E53CC" w:rsidP="001E53CC">
    <w:pPr>
      <w:rPr>
        <w:rFonts w:eastAsia="MS PGothic" w:cs="Calibri"/>
        <w:color w:val="0563C1"/>
        <w:u w:val="single"/>
      </w:rPr>
    </w:pPr>
    <w:hyperlink r:id="rId2" w:history="1">
      <w:r w:rsidRPr="006C2545">
        <w:rPr>
          <w:rStyle w:val="Hyperlink"/>
          <w:rFonts w:eastAsia="MS PGothic" w:cs="Calibri"/>
        </w:rPr>
        <w:t>TRO@act.gov.au</w:t>
      </w:r>
    </w:hyperlink>
    <w:r w:rsidRPr="007C3780">
      <w:rPr>
        <w:sz w:val="20"/>
        <w:szCs w:val="20"/>
      </w:rPr>
      <w:br/>
      <w:t xml:space="preserve">Version:  </w:t>
    </w:r>
    <w:proofErr w:type="gramStart"/>
    <w:r w:rsidRPr="007C3780">
      <w:rPr>
        <w:sz w:val="20"/>
        <w:szCs w:val="20"/>
      </w:rPr>
      <w:t xml:space="preserve">1.0  </w:t>
    </w:r>
    <w:r w:rsidRPr="007C3780">
      <w:rPr>
        <w:sz w:val="20"/>
        <w:szCs w:val="20"/>
      </w:rPr>
      <w:tab/>
    </w:r>
    <w:proofErr w:type="gramEnd"/>
    <w:r>
      <w:rPr>
        <w:sz w:val="20"/>
        <w:szCs w:val="20"/>
      </w:rPr>
      <w:tab/>
    </w:r>
    <w:r>
      <w:rPr>
        <w:sz w:val="20"/>
        <w:szCs w:val="20"/>
      </w:rPr>
      <w:tab/>
    </w:r>
    <w:r>
      <w:rPr>
        <w:sz w:val="20"/>
        <w:szCs w:val="20"/>
      </w:rPr>
      <w:tab/>
    </w:r>
    <w:r w:rsidRPr="007C3780">
      <w:rPr>
        <w:sz w:val="20"/>
        <w:szCs w:val="20"/>
      </w:rPr>
      <w:t xml:space="preserve">Page </w:t>
    </w:r>
    <w:r w:rsidRPr="007C3780">
      <w:rPr>
        <w:sz w:val="20"/>
        <w:szCs w:val="20"/>
      </w:rPr>
      <w:fldChar w:fldCharType="begin"/>
    </w:r>
    <w:r w:rsidRPr="007C3780">
      <w:rPr>
        <w:sz w:val="20"/>
        <w:szCs w:val="20"/>
      </w:rPr>
      <w:instrText xml:space="preserve"> PAGE   \* MERGEFORMAT </w:instrText>
    </w:r>
    <w:r w:rsidRPr="007C3780">
      <w:rPr>
        <w:sz w:val="20"/>
        <w:szCs w:val="20"/>
      </w:rPr>
      <w:fldChar w:fldCharType="separate"/>
    </w:r>
    <w:r>
      <w:rPr>
        <w:sz w:val="20"/>
        <w:szCs w:val="20"/>
      </w:rPr>
      <w:t>1</w:t>
    </w:r>
    <w:r w:rsidRPr="007C3780">
      <w:rPr>
        <w:sz w:val="20"/>
        <w:szCs w:val="20"/>
      </w:rPr>
      <w:fldChar w:fldCharType="end"/>
    </w:r>
    <w:r w:rsidRPr="007C3780">
      <w:rPr>
        <w:sz w:val="20"/>
        <w:szCs w:val="20"/>
      </w:rPr>
      <w:tab/>
      <w:t xml:space="preserve"> </w:t>
    </w:r>
    <w:r>
      <w:rPr>
        <w:sz w:val="20"/>
        <w:szCs w:val="20"/>
      </w:rPr>
      <w:tab/>
    </w:r>
    <w:r>
      <w:rPr>
        <w:sz w:val="20"/>
        <w:szCs w:val="20"/>
      </w:rPr>
      <w:tab/>
    </w:r>
    <w:r>
      <w:rPr>
        <w:sz w:val="20"/>
        <w:szCs w:val="20"/>
      </w:rPr>
      <w:tab/>
      <w:t xml:space="preserve">Publication date: 30/06/2022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A009B" w14:textId="77777777" w:rsidR="001E53CC" w:rsidRDefault="001E53CC" w:rsidP="001E53CC">
    <w:pPr>
      <w:spacing w:after="0"/>
      <w:rPr>
        <w:rFonts w:eastAsia="MS PGothic" w:cs="Calibri"/>
        <w:color w:val="0563C1"/>
        <w:u w:val="single"/>
      </w:rPr>
    </w:pPr>
    <w:hyperlink r:id="rId1" w:history="1">
      <w:r w:rsidRPr="006B2A5D">
        <w:rPr>
          <w:rFonts w:eastAsia="MS PGothic" w:cs="Calibri"/>
          <w:color w:val="0563C1"/>
          <w:u w:val="single"/>
        </w:rPr>
        <w:t>www.territoryrecords.act.gov.au</w:t>
      </w:r>
    </w:hyperlink>
    <w:r>
      <w:rPr>
        <w:rFonts w:eastAsia="MS PGothic" w:cs="Calibri"/>
        <w:color w:val="0563C1"/>
        <w:u w:val="single"/>
      </w:rPr>
      <w:t xml:space="preserve"> </w:t>
    </w:r>
  </w:p>
  <w:p w14:paraId="6AF15174" w14:textId="32375E32" w:rsidR="003616C4" w:rsidRPr="001E53CC" w:rsidRDefault="001E53CC" w:rsidP="001E53CC">
    <w:pPr>
      <w:rPr>
        <w:rFonts w:eastAsia="MS PGothic" w:cs="Calibri"/>
        <w:color w:val="0563C1"/>
        <w:u w:val="single"/>
      </w:rPr>
    </w:pPr>
    <w:hyperlink r:id="rId2" w:history="1">
      <w:r w:rsidRPr="006C2545">
        <w:rPr>
          <w:rStyle w:val="Hyperlink"/>
          <w:rFonts w:eastAsia="MS PGothic" w:cs="Calibri"/>
        </w:rPr>
        <w:t>TRO@act.gov.au</w:t>
      </w:r>
    </w:hyperlink>
    <w:r w:rsidRPr="007C3780">
      <w:rPr>
        <w:sz w:val="20"/>
        <w:szCs w:val="20"/>
      </w:rPr>
      <w:br/>
      <w:t xml:space="preserve">Version:  </w:t>
    </w:r>
    <w:proofErr w:type="gramStart"/>
    <w:r w:rsidRPr="007C3780">
      <w:rPr>
        <w:sz w:val="20"/>
        <w:szCs w:val="20"/>
      </w:rPr>
      <w:t xml:space="preserve">1.0  </w:t>
    </w:r>
    <w:r w:rsidRPr="007C3780">
      <w:rPr>
        <w:sz w:val="20"/>
        <w:szCs w:val="20"/>
      </w:rPr>
      <w:tab/>
    </w:r>
    <w:proofErr w:type="gramEnd"/>
    <w:r>
      <w:rPr>
        <w:sz w:val="20"/>
        <w:szCs w:val="20"/>
      </w:rPr>
      <w:tab/>
    </w:r>
    <w:r>
      <w:rPr>
        <w:sz w:val="20"/>
        <w:szCs w:val="20"/>
      </w:rPr>
      <w:tab/>
    </w:r>
    <w:r>
      <w:rPr>
        <w:sz w:val="20"/>
        <w:szCs w:val="20"/>
      </w:rPr>
      <w:tab/>
    </w:r>
    <w:r w:rsidRPr="007C3780">
      <w:rPr>
        <w:sz w:val="20"/>
        <w:szCs w:val="20"/>
      </w:rPr>
      <w:t xml:space="preserve">Page </w:t>
    </w:r>
    <w:r w:rsidRPr="007C3780">
      <w:rPr>
        <w:sz w:val="20"/>
        <w:szCs w:val="20"/>
      </w:rPr>
      <w:fldChar w:fldCharType="begin"/>
    </w:r>
    <w:r w:rsidRPr="007C3780">
      <w:rPr>
        <w:sz w:val="20"/>
        <w:szCs w:val="20"/>
      </w:rPr>
      <w:instrText xml:space="preserve"> PAGE   \* MERGEFORMAT </w:instrText>
    </w:r>
    <w:r w:rsidRPr="007C3780">
      <w:rPr>
        <w:sz w:val="20"/>
        <w:szCs w:val="20"/>
      </w:rPr>
      <w:fldChar w:fldCharType="separate"/>
    </w:r>
    <w:r>
      <w:rPr>
        <w:sz w:val="20"/>
        <w:szCs w:val="20"/>
      </w:rPr>
      <w:t>1</w:t>
    </w:r>
    <w:r w:rsidRPr="007C3780">
      <w:rPr>
        <w:sz w:val="20"/>
        <w:szCs w:val="20"/>
      </w:rPr>
      <w:fldChar w:fldCharType="end"/>
    </w:r>
    <w:r w:rsidRPr="007C3780">
      <w:rPr>
        <w:sz w:val="20"/>
        <w:szCs w:val="20"/>
      </w:rPr>
      <w:tab/>
      <w:t xml:space="preserve"> </w:t>
    </w:r>
    <w:r>
      <w:rPr>
        <w:sz w:val="20"/>
        <w:szCs w:val="20"/>
      </w:rPr>
      <w:tab/>
    </w:r>
    <w:r>
      <w:rPr>
        <w:sz w:val="20"/>
        <w:szCs w:val="20"/>
      </w:rPr>
      <w:tab/>
    </w:r>
    <w:r>
      <w:rPr>
        <w:sz w:val="20"/>
        <w:szCs w:val="20"/>
      </w:rPr>
      <w:tab/>
    </w:r>
    <w:bookmarkStart w:id="0" w:name="_Hlk105683518"/>
    <w:r>
      <w:rPr>
        <w:sz w:val="20"/>
        <w:szCs w:val="20"/>
      </w:rPr>
      <w:t>Publication date</w:t>
    </w:r>
    <w:r>
      <w:rPr>
        <w:sz w:val="20"/>
        <w:szCs w:val="20"/>
      </w:rPr>
      <w:t>: 30/06/2022</w:t>
    </w:r>
    <w:r>
      <w:rPr>
        <w:sz w:val="20"/>
        <w:szCs w:val="20"/>
      </w:rPr>
      <w:t xml:space="preserve"> </w:t>
    </w:r>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367FE" w14:textId="77777777" w:rsidR="00602724" w:rsidRDefault="00602724" w:rsidP="007C3780">
      <w:r>
        <w:separator/>
      </w:r>
    </w:p>
  </w:footnote>
  <w:footnote w:type="continuationSeparator" w:id="0">
    <w:p w14:paraId="6E49DEA9" w14:textId="77777777" w:rsidR="00602724" w:rsidRDefault="00602724" w:rsidP="007C37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AECAB" w14:textId="77777777" w:rsidR="00105161" w:rsidRDefault="00105161" w:rsidP="007C3780">
    <w:pPr>
      <w:pStyle w:val="Header"/>
    </w:pPr>
    <w:r>
      <w:rPr>
        <w:noProof/>
        <w:lang w:eastAsia="en-AU"/>
      </w:rPr>
      <w:drawing>
        <wp:anchor distT="0" distB="0" distL="114300" distR="114300" simplePos="0" relativeHeight="251661312" behindDoc="1" locked="0" layoutInCell="1" allowOverlap="1" wp14:anchorId="4AF86DC9" wp14:editId="37989C0D">
          <wp:simplePos x="0" y="0"/>
          <wp:positionH relativeFrom="page">
            <wp:posOffset>-19050</wp:posOffset>
          </wp:positionH>
          <wp:positionV relativeFrom="paragraph">
            <wp:posOffset>-480695</wp:posOffset>
          </wp:positionV>
          <wp:extent cx="7734300" cy="1676400"/>
          <wp:effectExtent l="0" t="0" r="0" b="0"/>
          <wp:wrapNone/>
          <wp:docPr id="2" name="Picture 2" descr="H:\My Documents\Background Graphic cr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My Documents\Background Graphic crop.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34300" cy="1676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AU"/>
      </w:rPr>
      <w:drawing>
        <wp:inline distT="0" distB="0" distL="0" distR="0" wp14:anchorId="74A76501" wp14:editId="54DABFBD">
          <wp:extent cx="1304925" cy="666750"/>
          <wp:effectExtent l="0" t="0" r="9525" b="0"/>
          <wp:docPr id="3" name="Picture 3" descr="C:\Users\Nicholas Brown\AppData\Local\Microsoft\Windows\Temporary Internet Files\Content.Word\ACTGov_inline_rev.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icholas Brown\AppData\Local\Microsoft\Windows\Temporary Internet Files\Content.Word\ACTGov_inline_rev.wm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04925" cy="666750"/>
                  </a:xfrm>
                  <a:prstGeom prst="rect">
                    <a:avLst/>
                  </a:prstGeom>
                  <a:noFill/>
                  <a:ln>
                    <a:noFill/>
                  </a:ln>
                </pic:spPr>
              </pic:pic>
            </a:graphicData>
          </a:graphic>
        </wp:inline>
      </w:drawing>
    </w:r>
    <w:r w:rsidRPr="00222472">
      <w:rPr>
        <w:noProof/>
        <w:lang w:eastAsia="en-AU"/>
      </w:rPr>
      <mc:AlternateContent>
        <mc:Choice Requires="wps">
          <w:drawing>
            <wp:inline distT="0" distB="0" distL="0" distR="0" wp14:anchorId="66FA908C" wp14:editId="3588315D">
              <wp:extent cx="4286250" cy="728980"/>
              <wp:effectExtent l="0" t="0" r="0" b="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0" cy="728980"/>
                      </a:xfrm>
                      <a:prstGeom prst="rect">
                        <a:avLst/>
                      </a:prstGeom>
                      <a:noFill/>
                      <a:ln w="9525">
                        <a:noFill/>
                        <a:miter lim="800000"/>
                        <a:headEnd/>
                        <a:tailEnd/>
                      </a:ln>
                    </wps:spPr>
                    <wps:txbx>
                      <w:txbxContent>
                        <w:p w14:paraId="334C7732" w14:textId="77777777" w:rsidR="00105161" w:rsidRPr="00E92846" w:rsidRDefault="00105161" w:rsidP="007C3780">
                          <w:pPr>
                            <w:pStyle w:val="Heading3"/>
                          </w:pPr>
                          <w:r w:rsidRPr="00E92846">
                            <w:t xml:space="preserve">TERRITORY </w:t>
                          </w:r>
                          <w:r w:rsidRPr="007C3780">
                            <w:t>RECORDS</w:t>
                          </w:r>
                          <w:r w:rsidRPr="00E92846">
                            <w:t xml:space="preserve"> OFFICE</w:t>
                          </w:r>
                        </w:p>
                        <w:p w14:paraId="17858DE9" w14:textId="77777777" w:rsidR="00105161" w:rsidRPr="00E92846" w:rsidRDefault="00105161" w:rsidP="007C3780">
                          <w:pPr>
                            <w:pStyle w:val="AdviceHeading2"/>
                          </w:pPr>
                          <w:r w:rsidRPr="007C3780">
                            <w:t>RECORDS</w:t>
                          </w:r>
                          <w:r w:rsidRPr="00E92846">
                            <w:t xml:space="preserve"> ADVICE</w:t>
                          </w:r>
                        </w:p>
                      </w:txbxContent>
                    </wps:txbx>
                    <wps:bodyPr rot="0" vert="horz" wrap="square" lIns="91440" tIns="45720" rIns="91440" bIns="45720" anchor="t" anchorCtr="0">
                      <a:noAutofit/>
                    </wps:bodyPr>
                  </wps:wsp>
                </a:graphicData>
              </a:graphic>
            </wp:inline>
          </w:drawing>
        </mc:Choice>
        <mc:Fallback>
          <w:pict>
            <v:shapetype w14:anchorId="66FA908C" id="_x0000_t202" coordsize="21600,21600" o:spt="202" path="m,l,21600r21600,l21600,xe">
              <v:stroke joinstyle="miter"/>
              <v:path gradientshapeok="t" o:connecttype="rect"/>
            </v:shapetype>
            <v:shape id="Text Box 2" o:spid="_x0000_s1026" type="#_x0000_t202" style="width:337.5pt;height:5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" filled="f" stroked="f">
              <v:textbox>
                <w:txbxContent>
                  <w:p w14:paraId="334C7732" w14:textId="77777777" w:rsidR="00105161" w:rsidRPr="00E92846" w:rsidRDefault="00105161" w:rsidP="007C3780">
                    <w:pPr>
                      <w:pStyle w:val="Heading3"/>
                    </w:pPr>
                    <w:r w:rsidRPr="00E92846">
                      <w:t xml:space="preserve">TERRITORY </w:t>
                    </w:r>
                    <w:r w:rsidRPr="007C3780">
                      <w:t>RECORDS</w:t>
                    </w:r>
                    <w:r w:rsidRPr="00E92846">
                      <w:t xml:space="preserve"> OFFICE</w:t>
                    </w:r>
                  </w:p>
                  <w:p w14:paraId="17858DE9" w14:textId="77777777" w:rsidR="00105161" w:rsidRPr="00E92846" w:rsidRDefault="00105161" w:rsidP="007C3780">
                    <w:pPr>
                      <w:pStyle w:val="AdviceHeading2"/>
                    </w:pPr>
                    <w:r w:rsidRPr="007C3780">
                      <w:t>RECORDS</w:t>
                    </w:r>
                    <w:r w:rsidRPr="00E92846">
                      <w:t xml:space="preserve"> ADVICE</w:t>
                    </w:r>
                  </w:p>
                </w:txbxContent>
              </v:textbox>
              <w10:anchorlock/>
            </v:shape>
          </w:pict>
        </mc:Fallback>
      </mc:AlternateContent>
    </w:r>
    <w:r>
      <w:tab/>
    </w:r>
  </w:p>
  <w:p w14:paraId="0B563E35" w14:textId="77777777" w:rsidR="00105161" w:rsidRDefault="00105161" w:rsidP="007C37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C5942"/>
    <w:multiLevelType w:val="hybridMultilevel"/>
    <w:tmpl w:val="1FF8F1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162B57"/>
    <w:multiLevelType w:val="hybridMultilevel"/>
    <w:tmpl w:val="ED3C947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A0363D"/>
    <w:multiLevelType w:val="hybridMultilevel"/>
    <w:tmpl w:val="E824345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F6238FF"/>
    <w:multiLevelType w:val="hybridMultilevel"/>
    <w:tmpl w:val="7FD6BE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5DD"/>
    <w:rsid w:val="0000442C"/>
    <w:rsid w:val="00043605"/>
    <w:rsid w:val="00063054"/>
    <w:rsid w:val="000C7319"/>
    <w:rsid w:val="000D0B25"/>
    <w:rsid w:val="000E66BD"/>
    <w:rsid w:val="000F34B7"/>
    <w:rsid w:val="000F3BED"/>
    <w:rsid w:val="00105161"/>
    <w:rsid w:val="00145942"/>
    <w:rsid w:val="00164300"/>
    <w:rsid w:val="00190D97"/>
    <w:rsid w:val="001B655D"/>
    <w:rsid w:val="001E53CC"/>
    <w:rsid w:val="00222472"/>
    <w:rsid w:val="002A395D"/>
    <w:rsid w:val="003616C4"/>
    <w:rsid w:val="00463175"/>
    <w:rsid w:val="004D202D"/>
    <w:rsid w:val="00552D1B"/>
    <w:rsid w:val="00554411"/>
    <w:rsid w:val="005A7AB5"/>
    <w:rsid w:val="00602724"/>
    <w:rsid w:val="00673127"/>
    <w:rsid w:val="007247DF"/>
    <w:rsid w:val="00787D71"/>
    <w:rsid w:val="007B645D"/>
    <w:rsid w:val="007C3780"/>
    <w:rsid w:val="008C77B0"/>
    <w:rsid w:val="009E17B9"/>
    <w:rsid w:val="00A77241"/>
    <w:rsid w:val="00A859B7"/>
    <w:rsid w:val="00A97D36"/>
    <w:rsid w:val="00AB1591"/>
    <w:rsid w:val="00AF6274"/>
    <w:rsid w:val="00B55DF0"/>
    <w:rsid w:val="00B70187"/>
    <w:rsid w:val="00C02272"/>
    <w:rsid w:val="00C565DD"/>
    <w:rsid w:val="00CE535B"/>
    <w:rsid w:val="00D5239E"/>
    <w:rsid w:val="00D733FE"/>
    <w:rsid w:val="00DA63C3"/>
    <w:rsid w:val="00DA719A"/>
    <w:rsid w:val="00DC08E9"/>
    <w:rsid w:val="00DC0C66"/>
    <w:rsid w:val="00E43533"/>
    <w:rsid w:val="00E75F90"/>
    <w:rsid w:val="00E85AEA"/>
    <w:rsid w:val="00EB73E7"/>
    <w:rsid w:val="00F1531B"/>
    <w:rsid w:val="00F8288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870644B"/>
  <w15:chartTrackingRefBased/>
  <w15:docId w15:val="{4E4EAEB7-5B1F-4A97-94E5-78052FB6B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5DD"/>
  </w:style>
  <w:style w:type="paragraph" w:styleId="Heading1">
    <w:name w:val="heading 1"/>
    <w:basedOn w:val="Normal"/>
    <w:next w:val="Normal"/>
    <w:link w:val="Heading1Char"/>
    <w:uiPriority w:val="9"/>
    <w:qFormat/>
    <w:rsid w:val="007C3780"/>
    <w:pPr>
      <w:keepNext/>
      <w:keepLines/>
      <w:autoSpaceDE w:val="0"/>
      <w:autoSpaceDN w:val="0"/>
      <w:adjustRightInd w:val="0"/>
      <w:spacing w:before="160" w:after="120" w:line="240" w:lineRule="auto"/>
      <w:outlineLvl w:val="0"/>
    </w:pPr>
    <w:rPr>
      <w:rFonts w:asciiTheme="majorHAnsi" w:eastAsiaTheme="majorEastAsia" w:hAnsiTheme="majorHAnsi" w:cstheme="majorBidi"/>
      <w:b/>
      <w:sz w:val="24"/>
      <w:szCs w:val="26"/>
    </w:rPr>
  </w:style>
  <w:style w:type="paragraph" w:styleId="Heading2">
    <w:name w:val="heading 2"/>
    <w:basedOn w:val="Normal"/>
    <w:next w:val="Normal"/>
    <w:link w:val="Heading2Char"/>
    <w:uiPriority w:val="9"/>
    <w:unhideWhenUsed/>
    <w:qFormat/>
    <w:rsid w:val="007C3780"/>
    <w:pPr>
      <w:keepNext/>
      <w:keepLines/>
      <w:autoSpaceDE w:val="0"/>
      <w:autoSpaceDN w:val="0"/>
      <w:adjustRightInd w:val="0"/>
      <w:spacing w:before="160" w:after="120" w:line="240" w:lineRule="auto"/>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7C3780"/>
    <w:pPr>
      <w:autoSpaceDE w:val="0"/>
      <w:autoSpaceDN w:val="0"/>
      <w:adjustRightInd w:val="0"/>
      <w:spacing w:before="240" w:after="0" w:line="216" w:lineRule="auto"/>
      <w:ind w:left="142" w:right="-505"/>
      <w:jc w:val="center"/>
      <w:outlineLvl w:val="2"/>
    </w:pPr>
    <w:rPr>
      <w:rFonts w:ascii="Montserrat" w:eastAsia="Times New Roman" w:hAnsi="Montserrat" w:cs="Arial"/>
      <w:color w:val="FFFFFF" w:themeColor="background1"/>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2472"/>
    <w:pPr>
      <w:tabs>
        <w:tab w:val="center" w:pos="4513"/>
        <w:tab w:val="right" w:pos="9026"/>
      </w:tabs>
      <w:autoSpaceDE w:val="0"/>
      <w:autoSpaceDN w:val="0"/>
      <w:adjustRightInd w:val="0"/>
      <w:spacing w:before="240" w:after="0" w:line="240" w:lineRule="auto"/>
    </w:pPr>
    <w:rPr>
      <w:rFonts w:ascii="Calibri" w:eastAsia="Times New Roman" w:hAnsi="Calibri" w:cs="Times New Roman"/>
      <w:sz w:val="24"/>
      <w:szCs w:val="24"/>
    </w:rPr>
  </w:style>
  <w:style w:type="character" w:customStyle="1" w:styleId="HeaderChar">
    <w:name w:val="Header Char"/>
    <w:basedOn w:val="DefaultParagraphFont"/>
    <w:link w:val="Header"/>
    <w:uiPriority w:val="99"/>
    <w:rsid w:val="00222472"/>
  </w:style>
  <w:style w:type="paragraph" w:styleId="Footer">
    <w:name w:val="footer"/>
    <w:basedOn w:val="Normal"/>
    <w:link w:val="FooterChar"/>
    <w:uiPriority w:val="99"/>
    <w:unhideWhenUsed/>
    <w:rsid w:val="00222472"/>
    <w:pPr>
      <w:tabs>
        <w:tab w:val="center" w:pos="4513"/>
        <w:tab w:val="right" w:pos="9026"/>
      </w:tabs>
      <w:autoSpaceDE w:val="0"/>
      <w:autoSpaceDN w:val="0"/>
      <w:adjustRightInd w:val="0"/>
      <w:spacing w:before="240" w:after="0" w:line="240" w:lineRule="auto"/>
    </w:pPr>
    <w:rPr>
      <w:rFonts w:ascii="Calibri" w:eastAsia="Times New Roman" w:hAnsi="Calibri" w:cs="Times New Roman"/>
      <w:sz w:val="24"/>
      <w:szCs w:val="24"/>
    </w:rPr>
  </w:style>
  <w:style w:type="character" w:customStyle="1" w:styleId="FooterChar">
    <w:name w:val="Footer Char"/>
    <w:basedOn w:val="DefaultParagraphFont"/>
    <w:link w:val="Footer"/>
    <w:uiPriority w:val="99"/>
    <w:rsid w:val="00222472"/>
  </w:style>
  <w:style w:type="paragraph" w:customStyle="1" w:styleId="Default">
    <w:name w:val="Default"/>
    <w:rsid w:val="00063054"/>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paragraph" w:customStyle="1" w:styleId="AdviceHeading1">
    <w:name w:val="Advice Heading 1"/>
    <w:basedOn w:val="Heading1"/>
    <w:rsid w:val="00063054"/>
    <w:pPr>
      <w:keepLines w:val="0"/>
      <w:spacing w:after="60"/>
    </w:pPr>
    <w:rPr>
      <w:rFonts w:ascii="Arial" w:eastAsia="Times New Roman" w:hAnsi="Arial" w:cs="Times New Roman"/>
      <w:b w:val="0"/>
      <w:bCs/>
      <w:kern w:val="32"/>
      <w:szCs w:val="20"/>
    </w:rPr>
  </w:style>
  <w:style w:type="paragraph" w:customStyle="1" w:styleId="AdviceHeading2">
    <w:name w:val="Advice Heading 2"/>
    <w:basedOn w:val="Normal"/>
    <w:qFormat/>
    <w:rsid w:val="007C3780"/>
    <w:pPr>
      <w:autoSpaceDE w:val="0"/>
      <w:autoSpaceDN w:val="0"/>
      <w:adjustRightInd w:val="0"/>
      <w:spacing w:before="240" w:after="0" w:line="216" w:lineRule="auto"/>
      <w:ind w:left="142" w:right="-505"/>
      <w:jc w:val="center"/>
    </w:pPr>
    <w:rPr>
      <w:rFonts w:ascii="Montserrat" w:eastAsia="Times New Roman" w:hAnsi="Montserrat" w:cs="Arial"/>
      <w:color w:val="FFFFFF" w:themeColor="background1"/>
      <w:sz w:val="36"/>
      <w:szCs w:val="36"/>
    </w:rPr>
  </w:style>
  <w:style w:type="paragraph" w:styleId="ListParagraph">
    <w:name w:val="List Paragraph"/>
    <w:basedOn w:val="Normal"/>
    <w:uiPriority w:val="34"/>
    <w:qFormat/>
    <w:rsid w:val="00063054"/>
    <w:pPr>
      <w:autoSpaceDE w:val="0"/>
      <w:autoSpaceDN w:val="0"/>
      <w:adjustRightInd w:val="0"/>
      <w:spacing w:before="240" w:after="0" w:line="240" w:lineRule="auto"/>
      <w:ind w:left="720"/>
      <w:contextualSpacing/>
    </w:pPr>
    <w:rPr>
      <w:rFonts w:ascii="Calibri" w:eastAsia="Times New Roman" w:hAnsi="Calibri" w:cs="Times New Roman"/>
      <w:sz w:val="24"/>
      <w:szCs w:val="24"/>
    </w:rPr>
  </w:style>
  <w:style w:type="character" w:customStyle="1" w:styleId="Heading1Char">
    <w:name w:val="Heading 1 Char"/>
    <w:basedOn w:val="DefaultParagraphFont"/>
    <w:link w:val="Heading1"/>
    <w:uiPriority w:val="9"/>
    <w:rsid w:val="007C3780"/>
    <w:rPr>
      <w:rFonts w:asciiTheme="majorHAnsi" w:eastAsiaTheme="majorEastAsia" w:hAnsiTheme="majorHAnsi" w:cstheme="majorBidi"/>
      <w:b/>
      <w:sz w:val="24"/>
      <w:szCs w:val="26"/>
    </w:rPr>
  </w:style>
  <w:style w:type="character" w:customStyle="1" w:styleId="Heading2Char">
    <w:name w:val="Heading 2 Char"/>
    <w:basedOn w:val="DefaultParagraphFont"/>
    <w:link w:val="Heading2"/>
    <w:uiPriority w:val="9"/>
    <w:rsid w:val="007C3780"/>
    <w:rPr>
      <w:rFonts w:eastAsiaTheme="majorEastAsia" w:cstheme="majorBidi"/>
      <w:b/>
      <w:szCs w:val="26"/>
    </w:rPr>
  </w:style>
  <w:style w:type="paragraph" w:styleId="BalloonText">
    <w:name w:val="Balloon Text"/>
    <w:basedOn w:val="Normal"/>
    <w:link w:val="BalloonTextChar"/>
    <w:uiPriority w:val="99"/>
    <w:semiHidden/>
    <w:unhideWhenUsed/>
    <w:rsid w:val="00063054"/>
    <w:pPr>
      <w:autoSpaceDE w:val="0"/>
      <w:autoSpaceDN w:val="0"/>
      <w:adjustRightInd w:val="0"/>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063054"/>
    <w:rPr>
      <w:rFonts w:ascii="Segoe UI" w:eastAsia="Times New Roman" w:hAnsi="Segoe UI" w:cs="Segoe UI"/>
      <w:sz w:val="18"/>
      <w:szCs w:val="18"/>
    </w:rPr>
  </w:style>
  <w:style w:type="paragraph" w:styleId="Title">
    <w:name w:val="Title"/>
    <w:basedOn w:val="Normal"/>
    <w:next w:val="Normal"/>
    <w:link w:val="TitleChar"/>
    <w:uiPriority w:val="10"/>
    <w:qFormat/>
    <w:rsid w:val="007C3780"/>
    <w:pPr>
      <w:keepNext/>
      <w:keepLines/>
      <w:autoSpaceDE w:val="0"/>
      <w:autoSpaceDN w:val="0"/>
      <w:adjustRightInd w:val="0"/>
      <w:spacing w:before="160" w:after="120" w:line="240" w:lineRule="auto"/>
      <w:outlineLvl w:val="0"/>
    </w:pPr>
    <w:rPr>
      <w:rFonts w:asciiTheme="majorHAnsi" w:eastAsiaTheme="majorEastAsia" w:hAnsiTheme="majorHAnsi" w:cstheme="majorBidi"/>
      <w:b/>
      <w:sz w:val="36"/>
      <w:szCs w:val="36"/>
    </w:rPr>
  </w:style>
  <w:style w:type="character" w:customStyle="1" w:styleId="TitleChar">
    <w:name w:val="Title Char"/>
    <w:basedOn w:val="DefaultParagraphFont"/>
    <w:link w:val="Title"/>
    <w:uiPriority w:val="10"/>
    <w:rsid w:val="007C3780"/>
    <w:rPr>
      <w:rFonts w:asciiTheme="majorHAnsi" w:eastAsiaTheme="majorEastAsia" w:hAnsiTheme="majorHAnsi" w:cstheme="majorBidi"/>
      <w:b/>
      <w:sz w:val="36"/>
      <w:szCs w:val="36"/>
    </w:rPr>
  </w:style>
  <w:style w:type="character" w:customStyle="1" w:styleId="Heading3Char">
    <w:name w:val="Heading 3 Char"/>
    <w:basedOn w:val="DefaultParagraphFont"/>
    <w:link w:val="Heading3"/>
    <w:uiPriority w:val="9"/>
    <w:rsid w:val="007C3780"/>
    <w:rPr>
      <w:rFonts w:ascii="Montserrat" w:eastAsia="Times New Roman" w:hAnsi="Montserrat" w:cs="Arial"/>
      <w:color w:val="FFFFFF" w:themeColor="background1"/>
      <w:sz w:val="16"/>
      <w:szCs w:val="16"/>
    </w:rPr>
  </w:style>
  <w:style w:type="character" w:styleId="Hyperlink">
    <w:name w:val="Hyperlink"/>
    <w:basedOn w:val="DefaultParagraphFont"/>
    <w:uiPriority w:val="99"/>
    <w:unhideWhenUsed/>
    <w:rsid w:val="00C565DD"/>
    <w:rPr>
      <w:color w:val="0000FF"/>
      <w:u w:val="single"/>
    </w:rPr>
  </w:style>
  <w:style w:type="paragraph" w:styleId="NoSpacing">
    <w:name w:val="No Spacing"/>
    <w:uiPriority w:val="1"/>
    <w:qFormat/>
    <w:rsid w:val="00C565DD"/>
    <w:pPr>
      <w:spacing w:after="0" w:line="240" w:lineRule="auto"/>
    </w:pPr>
  </w:style>
  <w:style w:type="character" w:styleId="FollowedHyperlink">
    <w:name w:val="FollowedHyperlink"/>
    <w:basedOn w:val="DefaultParagraphFont"/>
    <w:uiPriority w:val="99"/>
    <w:semiHidden/>
    <w:unhideWhenUsed/>
    <w:rsid w:val="00C565DD"/>
    <w:rPr>
      <w:color w:val="954F72" w:themeColor="followedHyperlink"/>
      <w:u w:val="single"/>
    </w:rPr>
  </w:style>
  <w:style w:type="character" w:styleId="CommentReference">
    <w:name w:val="annotation reference"/>
    <w:basedOn w:val="DefaultParagraphFont"/>
    <w:uiPriority w:val="99"/>
    <w:semiHidden/>
    <w:unhideWhenUsed/>
    <w:rsid w:val="00DC08E9"/>
    <w:rPr>
      <w:sz w:val="16"/>
      <w:szCs w:val="16"/>
    </w:rPr>
  </w:style>
  <w:style w:type="paragraph" w:styleId="CommentText">
    <w:name w:val="annotation text"/>
    <w:basedOn w:val="Normal"/>
    <w:link w:val="CommentTextChar"/>
    <w:uiPriority w:val="99"/>
    <w:semiHidden/>
    <w:unhideWhenUsed/>
    <w:rsid w:val="00DC08E9"/>
    <w:pPr>
      <w:spacing w:line="240" w:lineRule="auto"/>
    </w:pPr>
    <w:rPr>
      <w:sz w:val="20"/>
      <w:szCs w:val="20"/>
    </w:rPr>
  </w:style>
  <w:style w:type="character" w:customStyle="1" w:styleId="CommentTextChar">
    <w:name w:val="Comment Text Char"/>
    <w:basedOn w:val="DefaultParagraphFont"/>
    <w:link w:val="CommentText"/>
    <w:uiPriority w:val="99"/>
    <w:semiHidden/>
    <w:rsid w:val="00DC08E9"/>
    <w:rPr>
      <w:sz w:val="20"/>
      <w:szCs w:val="20"/>
    </w:rPr>
  </w:style>
  <w:style w:type="paragraph" w:styleId="CommentSubject">
    <w:name w:val="annotation subject"/>
    <w:basedOn w:val="CommentText"/>
    <w:next w:val="CommentText"/>
    <w:link w:val="CommentSubjectChar"/>
    <w:uiPriority w:val="99"/>
    <w:semiHidden/>
    <w:unhideWhenUsed/>
    <w:rsid w:val="00DC08E9"/>
    <w:rPr>
      <w:b/>
      <w:bCs/>
    </w:rPr>
  </w:style>
  <w:style w:type="character" w:customStyle="1" w:styleId="CommentSubjectChar">
    <w:name w:val="Comment Subject Char"/>
    <w:basedOn w:val="CommentTextChar"/>
    <w:link w:val="CommentSubject"/>
    <w:uiPriority w:val="99"/>
    <w:semiHidden/>
    <w:rsid w:val="00DC08E9"/>
    <w:rPr>
      <w:b/>
      <w:bCs/>
      <w:sz w:val="20"/>
      <w:szCs w:val="20"/>
    </w:rPr>
  </w:style>
  <w:style w:type="paragraph" w:styleId="NormalWeb">
    <w:name w:val="Normal (Web)"/>
    <w:basedOn w:val="Normal"/>
    <w:uiPriority w:val="99"/>
    <w:unhideWhenUsed/>
    <w:rsid w:val="00043605"/>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UnresolvedMention">
    <w:name w:val="Unresolved Mention"/>
    <w:basedOn w:val="DefaultParagraphFont"/>
    <w:uiPriority w:val="99"/>
    <w:semiHidden/>
    <w:unhideWhenUsed/>
    <w:rsid w:val="00043605"/>
    <w:rPr>
      <w:color w:val="605E5C"/>
      <w:shd w:val="clear" w:color="auto" w:fill="E1DFDD"/>
    </w:rPr>
  </w:style>
  <w:style w:type="paragraph" w:styleId="Revision">
    <w:name w:val="Revision"/>
    <w:hidden/>
    <w:uiPriority w:val="99"/>
    <w:semiHidden/>
    <w:rsid w:val="00A97D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469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fair.org/fair-principle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atic1.squarespace.com/static/5d3799de845604000199cd24/t/5da9f4479ecab221ce848fb2/1571419335217/CARE+Principles_One+Pagers+FINAL_Oct_17_2019.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ecd.org/gov/digital-government/open-government-data.ht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zenodo.org/record/3909563" TargetMode="External"/><Relationship Id="rId4" Type="http://schemas.openxmlformats.org/officeDocument/2006/relationships/settings" Target="settings.xml"/><Relationship Id="rId9" Type="http://schemas.openxmlformats.org/officeDocument/2006/relationships/hyperlink" Target="https://static1.squarespace.com/static/5d3799de845604000199cd24/t/5da9f4479ecab221ce848fb2/1571419335217/CARE+Principles_One+Pagers+FINAL_Oct_17_2019.pdf"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TRO@act.gov.au" TargetMode="External"/><Relationship Id="rId1" Type="http://schemas.openxmlformats.org/officeDocument/2006/relationships/hyperlink" Target="http://www.territoryrecords.act.gov.au/"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TRO@act.gov.au" TargetMode="External"/><Relationship Id="rId1" Type="http://schemas.openxmlformats.org/officeDocument/2006/relationships/hyperlink" Target="http://www.territoryrecords.act.gov.a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EFE90E-9D59-4A7C-A7F3-571CC1252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958</Words>
  <Characters>5461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6407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Nic</dc:creator>
  <cp:keywords/>
  <dc:description/>
  <cp:lastModifiedBy>Brown, Nic</cp:lastModifiedBy>
  <cp:revision>2</cp:revision>
  <cp:lastPrinted>2018-04-19T03:53:00Z</cp:lastPrinted>
  <dcterms:created xsi:type="dcterms:W3CDTF">2022-07-01T06:23:00Z</dcterms:created>
  <dcterms:modified xsi:type="dcterms:W3CDTF">2022-07-01T06:23:00Z</dcterms:modified>
</cp:coreProperties>
</file>