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BF066" w14:textId="77777777" w:rsidR="00CC54F5" w:rsidRPr="003A14D8" w:rsidRDefault="00CC54F5" w:rsidP="00CC54F5">
      <w:pPr>
        <w:jc w:val="both"/>
        <w:rPr>
          <w:b/>
          <w:bCs/>
          <w:sz w:val="28"/>
          <w:szCs w:val="28"/>
        </w:rPr>
      </w:pPr>
      <w:bookmarkStart w:id="0" w:name="_Hlk146530386"/>
      <w:bookmarkStart w:id="1" w:name="_Hlk155975710"/>
      <w:r>
        <w:rPr>
          <w:b/>
          <w:bCs/>
          <w:sz w:val="28"/>
          <w:szCs w:val="28"/>
        </w:rPr>
        <w:t xml:space="preserve">Making your </w:t>
      </w:r>
      <w:r w:rsidRPr="002078A6">
        <w:rPr>
          <w:b/>
          <w:bCs/>
          <w:sz w:val="28"/>
          <w:szCs w:val="28"/>
        </w:rPr>
        <w:t xml:space="preserve">Annual Records </w:t>
      </w:r>
      <w:r>
        <w:rPr>
          <w:b/>
          <w:bCs/>
          <w:sz w:val="28"/>
          <w:szCs w:val="28"/>
        </w:rPr>
        <w:t xml:space="preserve">Management </w:t>
      </w:r>
      <w:r w:rsidRPr="002078A6">
        <w:rPr>
          <w:b/>
          <w:bCs/>
          <w:sz w:val="28"/>
          <w:szCs w:val="28"/>
        </w:rPr>
        <w:t xml:space="preserve">Maturity Assessment </w:t>
      </w:r>
      <w:r>
        <w:rPr>
          <w:b/>
          <w:bCs/>
          <w:sz w:val="28"/>
          <w:szCs w:val="28"/>
        </w:rPr>
        <w:t>work for you</w:t>
      </w:r>
    </w:p>
    <w:p w14:paraId="1E922544" w14:textId="77777777" w:rsidR="00CC54F5" w:rsidRDefault="00CC54F5" w:rsidP="00CC54F5">
      <w:pPr>
        <w:spacing w:before="0"/>
        <w:jc w:val="both"/>
        <w:rPr>
          <w:rFonts w:cs="Calibri"/>
          <w:b/>
          <w:bCs/>
          <w:sz w:val="22"/>
          <w:szCs w:val="22"/>
        </w:rPr>
      </w:pPr>
      <w:bookmarkStart w:id="2" w:name="_Hlk146530403"/>
      <w:bookmarkEnd w:id="0"/>
    </w:p>
    <w:bookmarkEnd w:id="1"/>
    <w:p w14:paraId="67AC5B9F" w14:textId="77777777" w:rsidR="00CC54F5" w:rsidRPr="00194727" w:rsidRDefault="00CC54F5" w:rsidP="00CC54F5">
      <w:pPr>
        <w:spacing w:before="0"/>
        <w:jc w:val="both"/>
        <w:rPr>
          <w:rFonts w:cs="Calibri"/>
          <w:b/>
          <w:bCs/>
        </w:rPr>
      </w:pPr>
      <w:r w:rsidRPr="00194727">
        <w:rPr>
          <w:rFonts w:cs="Calibri"/>
          <w:b/>
          <w:bCs/>
        </w:rPr>
        <w:t>Introduction</w:t>
      </w:r>
    </w:p>
    <w:p w14:paraId="5A43CC42" w14:textId="77777777" w:rsidR="00CC54F5" w:rsidRPr="00194727" w:rsidRDefault="00CC54F5" w:rsidP="00CC54F5">
      <w:pPr>
        <w:autoSpaceDE/>
        <w:autoSpaceDN/>
        <w:adjustRightInd/>
        <w:spacing w:before="0"/>
        <w:jc w:val="both"/>
        <w:rPr>
          <w:rFonts w:eastAsia="Calibri" w:cs="Calibri"/>
        </w:rPr>
      </w:pPr>
      <w:bookmarkStart w:id="3" w:name="_Hlk146535490"/>
      <w:bookmarkEnd w:id="2"/>
      <w:r w:rsidRPr="00194727">
        <w:rPr>
          <w:rFonts w:eastAsia="Calibri" w:cs="Calibri"/>
        </w:rPr>
        <w:t>This advice is to provide Records Managers with points of consideration in using the results of a maturity assessment</w:t>
      </w:r>
      <w:r>
        <w:rPr>
          <w:rFonts w:eastAsia="Calibri" w:cs="Calibri"/>
        </w:rPr>
        <w:t xml:space="preserve"> to support strategic outcomes and planning</w:t>
      </w:r>
      <w:r w:rsidRPr="00194727">
        <w:rPr>
          <w:rFonts w:eastAsia="Calibri" w:cs="Calibri"/>
        </w:rPr>
        <w:t xml:space="preserve">. Reviewing maturity assessment responses can identify trends or gaps in capability and highlight achievements. The results of a quality maturity assessment can be used to provide evidence for the review of policy, business strategies and processes or </w:t>
      </w:r>
      <w:r>
        <w:rPr>
          <w:rFonts w:eastAsia="Calibri" w:cs="Calibri"/>
        </w:rPr>
        <w:t xml:space="preserve">in </w:t>
      </w:r>
      <w:r w:rsidRPr="00194727">
        <w:rPr>
          <w:rFonts w:eastAsia="Calibri" w:cs="Calibri"/>
        </w:rPr>
        <w:t>advocating for resources or training.</w:t>
      </w:r>
    </w:p>
    <w:p w14:paraId="75FFF696" w14:textId="77777777" w:rsidR="00CC54F5" w:rsidRPr="00194727" w:rsidRDefault="00CC54F5" w:rsidP="00CC54F5">
      <w:pPr>
        <w:spacing w:before="0"/>
        <w:jc w:val="both"/>
        <w:rPr>
          <w:rFonts w:cs="Calibri"/>
        </w:rPr>
      </w:pPr>
    </w:p>
    <w:p w14:paraId="77A3C6EF" w14:textId="77777777" w:rsidR="00CC54F5" w:rsidRPr="00194727" w:rsidRDefault="00CC54F5" w:rsidP="00CC54F5">
      <w:pPr>
        <w:spacing w:before="0"/>
        <w:jc w:val="both"/>
        <w:rPr>
          <w:rFonts w:eastAsia="Calibri" w:cs="Calibri"/>
        </w:rPr>
      </w:pPr>
      <w:r w:rsidRPr="00194727">
        <w:rPr>
          <w:rFonts w:cs="Calibri"/>
        </w:rPr>
        <w:t xml:space="preserve">Beyond an assessment of conformity with </w:t>
      </w:r>
      <w:r>
        <w:rPr>
          <w:rFonts w:cs="Calibri"/>
        </w:rPr>
        <w:t xml:space="preserve">legislative </w:t>
      </w:r>
      <w:r w:rsidRPr="00194727">
        <w:rPr>
          <w:rFonts w:cs="Calibri"/>
        </w:rPr>
        <w:t xml:space="preserve">requirements, monitoring can actively assist agencies to embed good practices and processes. It ensures that records, information, and data are </w:t>
      </w:r>
      <w:r>
        <w:rPr>
          <w:rFonts w:cs="Calibri"/>
        </w:rPr>
        <w:t xml:space="preserve">effectively </w:t>
      </w:r>
      <w:r w:rsidRPr="00194727">
        <w:rPr>
          <w:rFonts w:cs="Calibri"/>
        </w:rPr>
        <w:t xml:space="preserve">managed to meet the business needs of the agency, the expectation of customers, and the requirements of government. Monitoring will support the organisation’s capacity to use records, information and data for decision-making, policy development and the delivery of high-quality public services. </w:t>
      </w:r>
      <w:r>
        <w:rPr>
          <w:rFonts w:cs="Calibri"/>
        </w:rPr>
        <w:t>I</w:t>
      </w:r>
      <w:r w:rsidRPr="00194727">
        <w:rPr>
          <w:rFonts w:cs="Calibri"/>
        </w:rPr>
        <w:t>t should enable agencies to identify and manage information and risks</w:t>
      </w:r>
      <w:r>
        <w:rPr>
          <w:rFonts w:cs="Calibri"/>
        </w:rPr>
        <w:t>,</w:t>
      </w:r>
      <w:r w:rsidRPr="00194727">
        <w:rPr>
          <w:rFonts w:cs="Calibri"/>
        </w:rPr>
        <w:t xml:space="preserve"> to provide business continuity and protect the rights of all stakeholders. </w:t>
      </w:r>
    </w:p>
    <w:p w14:paraId="6113B522" w14:textId="77777777" w:rsidR="00CC54F5" w:rsidRPr="00194727" w:rsidRDefault="00CC54F5" w:rsidP="00CC54F5">
      <w:pPr>
        <w:spacing w:before="0"/>
        <w:jc w:val="both"/>
        <w:rPr>
          <w:rFonts w:cs="Calibri"/>
          <w:b/>
          <w:bCs/>
        </w:rPr>
      </w:pPr>
    </w:p>
    <w:p w14:paraId="4C18D25C" w14:textId="77777777" w:rsidR="00CC54F5" w:rsidRPr="00194727" w:rsidRDefault="00CC54F5" w:rsidP="00CC54F5">
      <w:pPr>
        <w:spacing w:before="0"/>
        <w:jc w:val="both"/>
        <w:rPr>
          <w:rFonts w:cs="Calibri"/>
          <w:b/>
          <w:bCs/>
        </w:rPr>
      </w:pPr>
      <w:r w:rsidRPr="00194727">
        <w:rPr>
          <w:rFonts w:cs="Calibri"/>
          <w:b/>
          <w:bCs/>
        </w:rPr>
        <w:t>Background</w:t>
      </w:r>
    </w:p>
    <w:p w14:paraId="6F4AFAAC" w14:textId="77777777" w:rsidR="00CC54F5" w:rsidRPr="00194727" w:rsidRDefault="00CC54F5" w:rsidP="00CC54F5">
      <w:pPr>
        <w:spacing w:before="0"/>
        <w:jc w:val="both"/>
        <w:rPr>
          <w:rFonts w:eastAsia="Calibri" w:cs="Calibri"/>
        </w:rPr>
      </w:pPr>
      <w:r w:rsidRPr="00194727">
        <w:rPr>
          <w:rFonts w:eastAsia="Calibri" w:cs="Calibri"/>
        </w:rPr>
        <w:t xml:space="preserve">The Guideline on </w:t>
      </w:r>
      <w:hyperlink r:id="rId8" w:history="1">
        <w:r w:rsidRPr="00194727">
          <w:rPr>
            <w:rStyle w:val="Hyperlink"/>
            <w:rFonts w:eastAsia="Calibri" w:cs="Calibri"/>
          </w:rPr>
          <w:t>Principle 2: Capability</w:t>
        </w:r>
      </w:hyperlink>
      <w:r w:rsidRPr="00194727">
        <w:rPr>
          <w:rFonts w:eastAsia="Calibri" w:cs="Calibri"/>
        </w:rPr>
        <w:t xml:space="preserve"> of the </w:t>
      </w:r>
      <w:r w:rsidRPr="00194727">
        <w:rPr>
          <w:rFonts w:eastAsia="Calibri" w:cs="Calibri"/>
          <w:i/>
          <w:iCs/>
        </w:rPr>
        <w:t>Standard for Records and Information Governance</w:t>
      </w:r>
      <w:r w:rsidRPr="00194727">
        <w:rPr>
          <w:rFonts w:eastAsia="Calibri" w:cs="Calibri"/>
        </w:rPr>
        <w:t xml:space="preserve"> (</w:t>
      </w:r>
      <w:hyperlink r:id="rId9" w:history="1">
        <w:r w:rsidRPr="00A447D9">
          <w:rPr>
            <w:rStyle w:val="Hyperlink"/>
            <w:rFonts w:eastAsia="Calibri" w:cs="Calibri"/>
          </w:rPr>
          <w:t>the Standard</w:t>
        </w:r>
      </w:hyperlink>
      <w:r w:rsidRPr="00194727">
        <w:rPr>
          <w:rFonts w:eastAsia="Calibri" w:cs="Calibri"/>
        </w:rPr>
        <w:t xml:space="preserve">) requires agencies to undertake an annual assessment of their records management maturity. </w:t>
      </w:r>
    </w:p>
    <w:p w14:paraId="2A7F7DDD" w14:textId="77777777" w:rsidR="00CC54F5" w:rsidRPr="00194727" w:rsidRDefault="00CC54F5" w:rsidP="00CC54F5">
      <w:pPr>
        <w:spacing w:before="0"/>
        <w:jc w:val="both"/>
        <w:rPr>
          <w:rFonts w:eastAsia="Calibri" w:cs="Calibri"/>
        </w:rPr>
      </w:pPr>
    </w:p>
    <w:p w14:paraId="780C57FB" w14:textId="77777777" w:rsidR="00CC54F5" w:rsidRDefault="00CC54F5" w:rsidP="00CC54F5">
      <w:pPr>
        <w:spacing w:before="0"/>
        <w:jc w:val="both"/>
        <w:rPr>
          <w:rFonts w:eastAsia="Calibri" w:cs="Calibri"/>
        </w:rPr>
      </w:pPr>
      <w:r w:rsidRPr="00194727">
        <w:rPr>
          <w:rFonts w:eastAsia="Calibri" w:cs="Calibri"/>
        </w:rPr>
        <w:t>In September 2018, the Territory Records Office (TRO) requested each directorate undertake and report on their self-assessment to provide a baseline of current performance across the ACT Government against each of the seven principles included in the Standard, these being:</w:t>
      </w:r>
      <w:r w:rsidRPr="00194727">
        <w:rPr>
          <w:rStyle w:val="normaltextrun"/>
          <w:rFonts w:eastAsiaTheme="majorEastAsia" w:cs="Calibri"/>
          <w:color w:val="000000"/>
          <w:shd w:val="clear" w:color="auto" w:fill="FFFFFF"/>
        </w:rPr>
        <w:t xml:space="preserve"> Strategy; Capability; Assess; Describe; Protect; Retain; Access. </w:t>
      </w:r>
      <w:r w:rsidRPr="00194727">
        <w:rPr>
          <w:rStyle w:val="eop"/>
          <w:rFonts w:cs="Calibri"/>
          <w:color w:val="000000"/>
          <w:shd w:val="clear" w:color="auto" w:fill="FFFFFF"/>
        </w:rPr>
        <w:t> </w:t>
      </w:r>
      <w:r w:rsidRPr="00194727">
        <w:rPr>
          <w:rFonts w:eastAsia="Calibri" w:cs="Calibri"/>
        </w:rPr>
        <w:t xml:space="preserve">Since </w:t>
      </w:r>
      <w:r>
        <w:rPr>
          <w:rFonts w:eastAsia="Calibri" w:cs="Calibri"/>
        </w:rPr>
        <w:t>then,</w:t>
      </w:r>
      <w:r w:rsidRPr="00194727">
        <w:rPr>
          <w:rFonts w:eastAsia="Calibri" w:cs="Calibri"/>
        </w:rPr>
        <w:t xml:space="preserve"> TRO has coordinated these directorate maturity self-assessments annually. </w:t>
      </w:r>
    </w:p>
    <w:p w14:paraId="0C982A14" w14:textId="77777777" w:rsidR="00CC54F5" w:rsidRDefault="00CC54F5" w:rsidP="00CC54F5">
      <w:pPr>
        <w:spacing w:before="0"/>
        <w:jc w:val="both"/>
        <w:rPr>
          <w:rFonts w:eastAsia="Calibri" w:cs="Calibri"/>
        </w:rPr>
      </w:pPr>
    </w:p>
    <w:p w14:paraId="4492F857" w14:textId="77777777" w:rsidR="00CC54F5" w:rsidRDefault="00CC54F5" w:rsidP="00CC54F5">
      <w:pPr>
        <w:spacing w:before="0"/>
        <w:jc w:val="both"/>
        <w:rPr>
          <w:rFonts w:cs="Calibri"/>
        </w:rPr>
      </w:pPr>
      <w:r w:rsidRPr="00194727">
        <w:rPr>
          <w:rFonts w:cs="Calibri"/>
        </w:rPr>
        <w:t xml:space="preserve">The aim of the annual </w:t>
      </w:r>
      <w:r>
        <w:rPr>
          <w:rFonts w:cs="Calibri"/>
        </w:rPr>
        <w:t>m</w:t>
      </w:r>
      <w:r w:rsidRPr="00194727">
        <w:rPr>
          <w:rFonts w:cs="Calibri"/>
        </w:rPr>
        <w:t xml:space="preserve">aturity </w:t>
      </w:r>
      <w:r>
        <w:rPr>
          <w:rFonts w:cs="Calibri"/>
        </w:rPr>
        <w:t>a</w:t>
      </w:r>
      <w:r w:rsidRPr="00194727">
        <w:rPr>
          <w:rFonts w:cs="Calibri"/>
        </w:rPr>
        <w:t>ssessment is to</w:t>
      </w:r>
      <w:r>
        <w:rPr>
          <w:rFonts w:cs="Calibri"/>
        </w:rPr>
        <w:t>:</w:t>
      </w:r>
    </w:p>
    <w:p w14:paraId="554DE87D" w14:textId="77777777" w:rsidR="00CC54F5" w:rsidRPr="00AD1FE7" w:rsidRDefault="00CC54F5" w:rsidP="00CC54F5">
      <w:pPr>
        <w:pStyle w:val="ListParagraph"/>
        <w:numPr>
          <w:ilvl w:val="0"/>
          <w:numId w:val="4"/>
        </w:numPr>
        <w:autoSpaceDE/>
        <w:autoSpaceDN/>
        <w:adjustRightInd/>
        <w:spacing w:before="0" w:after="160" w:line="259" w:lineRule="auto"/>
        <w:jc w:val="both"/>
        <w:rPr>
          <w:rFonts w:cs="Calibri"/>
        </w:rPr>
      </w:pPr>
      <w:r w:rsidRPr="00AD1FE7">
        <w:rPr>
          <w:rFonts w:cs="Calibri"/>
        </w:rPr>
        <w:t>improve understanding of records and information governance capability and practice in the ACTPS</w:t>
      </w:r>
      <w:r>
        <w:rPr>
          <w:rFonts w:cs="Calibri"/>
        </w:rPr>
        <w:t>.</w:t>
      </w:r>
      <w:r w:rsidRPr="00AD1FE7">
        <w:rPr>
          <w:rFonts w:cs="Calibri"/>
        </w:rPr>
        <w:t xml:space="preserve"> </w:t>
      </w:r>
    </w:p>
    <w:p w14:paraId="28DCD6CF" w14:textId="77777777" w:rsidR="00CC54F5" w:rsidRPr="00AD1FE7" w:rsidRDefault="00CC54F5" w:rsidP="00CC54F5">
      <w:pPr>
        <w:pStyle w:val="ListParagraph"/>
        <w:numPr>
          <w:ilvl w:val="0"/>
          <w:numId w:val="4"/>
        </w:numPr>
        <w:autoSpaceDE/>
        <w:autoSpaceDN/>
        <w:adjustRightInd/>
        <w:spacing w:before="0" w:after="160" w:line="259" w:lineRule="auto"/>
        <w:jc w:val="both"/>
        <w:rPr>
          <w:rFonts w:cs="Calibri"/>
        </w:rPr>
      </w:pPr>
      <w:r w:rsidRPr="00AD1FE7">
        <w:rPr>
          <w:rFonts w:cs="Calibri"/>
        </w:rPr>
        <w:t>help directorates target their improvement efforts</w:t>
      </w:r>
      <w:r>
        <w:rPr>
          <w:rFonts w:cs="Calibri"/>
        </w:rPr>
        <w:t>.</w:t>
      </w:r>
      <w:r w:rsidRPr="00AD1FE7">
        <w:rPr>
          <w:rFonts w:cs="Calibri"/>
        </w:rPr>
        <w:t xml:space="preserve"> </w:t>
      </w:r>
    </w:p>
    <w:p w14:paraId="3B297D0B" w14:textId="77777777" w:rsidR="00CC54F5" w:rsidRPr="00AD1FE7" w:rsidRDefault="00CC54F5" w:rsidP="00CC54F5">
      <w:pPr>
        <w:pStyle w:val="ListParagraph"/>
        <w:numPr>
          <w:ilvl w:val="0"/>
          <w:numId w:val="4"/>
        </w:numPr>
        <w:autoSpaceDE/>
        <w:autoSpaceDN/>
        <w:adjustRightInd/>
        <w:spacing w:before="0" w:after="160" w:line="259" w:lineRule="auto"/>
        <w:jc w:val="both"/>
        <w:rPr>
          <w:rFonts w:cs="Calibri"/>
        </w:rPr>
      </w:pPr>
      <w:r w:rsidRPr="00AD1FE7">
        <w:rPr>
          <w:rFonts w:cs="Calibri"/>
        </w:rPr>
        <w:t xml:space="preserve">provide the TRO an overview of regulatory alignment across ACT Government agencies and an understanding of trends and issues to determine service priorities and allocation of resources. </w:t>
      </w:r>
    </w:p>
    <w:p w14:paraId="41AEF187" w14:textId="77777777" w:rsidR="00CC54F5" w:rsidRDefault="00CC54F5" w:rsidP="00CC54F5">
      <w:pPr>
        <w:spacing w:before="0"/>
        <w:jc w:val="both"/>
        <w:rPr>
          <w:rFonts w:cs="Calibri"/>
        </w:rPr>
      </w:pPr>
      <w:r w:rsidRPr="00194727">
        <w:rPr>
          <w:rFonts w:cs="Calibri"/>
        </w:rPr>
        <w:t>Whil</w:t>
      </w:r>
      <w:r>
        <w:rPr>
          <w:rFonts w:cs="Calibri"/>
        </w:rPr>
        <w:t>e</w:t>
      </w:r>
      <w:r w:rsidRPr="00194727">
        <w:rPr>
          <w:rFonts w:cs="Calibri"/>
        </w:rPr>
        <w:t xml:space="preserve"> all Directorates are required to complete the survey, many smaller agencies and statutory authorities participate as an avenue to build information governance awareness. </w:t>
      </w:r>
    </w:p>
    <w:p w14:paraId="6F749C69" w14:textId="77777777" w:rsidR="00CC54F5" w:rsidRDefault="00CC54F5" w:rsidP="00CC54F5">
      <w:pPr>
        <w:spacing w:before="0"/>
        <w:jc w:val="both"/>
        <w:rPr>
          <w:rFonts w:cs="Calibri"/>
        </w:rPr>
      </w:pPr>
    </w:p>
    <w:p w14:paraId="67A15636" w14:textId="2520AA6E" w:rsidR="00CC54F5" w:rsidRDefault="00CC54F5" w:rsidP="00CC54F5">
      <w:pPr>
        <w:spacing w:before="0"/>
        <w:jc w:val="both"/>
        <w:rPr>
          <w:rFonts w:cs="Calibri"/>
        </w:rPr>
      </w:pPr>
      <w:r w:rsidRPr="00194727">
        <w:rPr>
          <w:rFonts w:cs="Calibri"/>
        </w:rPr>
        <w:t>The TRO collates, analyses</w:t>
      </w:r>
      <w:r w:rsidR="00086F2B">
        <w:rPr>
          <w:rFonts w:cs="Calibri"/>
        </w:rPr>
        <w:t>,</w:t>
      </w:r>
      <w:r w:rsidRPr="00194727">
        <w:rPr>
          <w:rFonts w:cs="Calibri"/>
        </w:rPr>
        <w:t xml:space="preserve"> and summarises results across government. There is an emphasis on identifying trends and patterns in the ratings and responses including comparative analysis across years.</w:t>
      </w:r>
    </w:p>
    <w:p w14:paraId="33754F60" w14:textId="77777777" w:rsidR="00CC54F5" w:rsidRPr="00194727" w:rsidRDefault="00CC54F5" w:rsidP="00CC54F5">
      <w:pPr>
        <w:spacing w:before="0"/>
        <w:jc w:val="both"/>
        <w:rPr>
          <w:rFonts w:cs="Calibri"/>
        </w:rPr>
      </w:pPr>
    </w:p>
    <w:p w14:paraId="3672F615" w14:textId="77777777" w:rsidR="00CC54F5" w:rsidRPr="00194727" w:rsidRDefault="00CC54F5" w:rsidP="00CC54F5">
      <w:pPr>
        <w:keepNext/>
        <w:autoSpaceDE/>
        <w:autoSpaceDN/>
        <w:adjustRightInd/>
        <w:spacing w:before="0" w:line="259" w:lineRule="auto"/>
        <w:jc w:val="both"/>
        <w:rPr>
          <w:rFonts w:cs="Calibri"/>
          <w:b/>
          <w:bCs/>
        </w:rPr>
      </w:pPr>
      <w:bookmarkStart w:id="4" w:name="_Hlk146535634"/>
      <w:bookmarkEnd w:id="3"/>
      <w:r w:rsidRPr="00194727">
        <w:rPr>
          <w:rFonts w:cs="Calibri"/>
          <w:b/>
          <w:bCs/>
        </w:rPr>
        <w:lastRenderedPageBreak/>
        <w:t xml:space="preserve">Targets </w:t>
      </w:r>
    </w:p>
    <w:p w14:paraId="73576628" w14:textId="77777777" w:rsidR="00CC54F5" w:rsidRPr="008B5BFB" w:rsidRDefault="00CC54F5" w:rsidP="00CC54F5">
      <w:pPr>
        <w:spacing w:before="0"/>
        <w:jc w:val="both"/>
        <w:rPr>
          <w:rFonts w:asciiTheme="minorHAnsi" w:hAnsiTheme="minorHAnsi" w:cstheme="minorHAnsi"/>
        </w:rPr>
      </w:pPr>
      <w:r w:rsidRPr="00194727">
        <w:rPr>
          <w:rFonts w:cs="Calibri"/>
        </w:rPr>
        <w:t xml:space="preserve">In 2022, </w:t>
      </w:r>
      <w:r>
        <w:rPr>
          <w:rFonts w:cs="Calibri"/>
        </w:rPr>
        <w:t xml:space="preserve">ACT’s </w:t>
      </w:r>
      <w:r w:rsidRPr="00ED3DFE">
        <w:t>Strategic Board</w:t>
      </w:r>
      <w:r w:rsidRPr="00194727">
        <w:rPr>
          <w:rFonts w:cs="Calibri"/>
        </w:rPr>
        <w:t xml:space="preserve"> agreed to set</w:t>
      </w:r>
      <w:r>
        <w:rPr>
          <w:rFonts w:cs="Calibri"/>
        </w:rPr>
        <w:t xml:space="preserve"> annual</w:t>
      </w:r>
      <w:r w:rsidRPr="00194727">
        <w:rPr>
          <w:rFonts w:cs="Calibri"/>
        </w:rPr>
        <w:t xml:space="preserve"> performance targets that agencies would need to reach over the </w:t>
      </w:r>
      <w:r>
        <w:rPr>
          <w:rFonts w:cs="Calibri"/>
        </w:rPr>
        <w:t xml:space="preserve">next </w:t>
      </w:r>
      <w:r w:rsidRPr="00194727">
        <w:rPr>
          <w:rFonts w:cs="Calibri"/>
        </w:rPr>
        <w:t>calendar year</w:t>
      </w:r>
      <w:r>
        <w:rPr>
          <w:rFonts w:cs="Calibri"/>
        </w:rPr>
        <w:t xml:space="preserve">. Targets are determined through analysis of agency assessment responses within each principle and identifying common areas for improvement. </w:t>
      </w:r>
      <w:r w:rsidRPr="008B5BFB">
        <w:rPr>
          <w:rStyle w:val="cf01"/>
          <w:rFonts w:asciiTheme="minorHAnsi" w:hAnsiTheme="minorHAnsi" w:cstheme="minorHAnsi"/>
        </w:rPr>
        <w:t>Annual targets are agreed by Strategic Board before being circulated to directorates for inclusion in their planning for the following year.</w:t>
      </w:r>
    </w:p>
    <w:p w14:paraId="7AF70743" w14:textId="77777777" w:rsidR="00CC54F5" w:rsidRPr="008B5BFB" w:rsidRDefault="00CC54F5" w:rsidP="00CC54F5">
      <w:pPr>
        <w:spacing w:before="0"/>
        <w:jc w:val="both"/>
        <w:rPr>
          <w:rFonts w:asciiTheme="minorHAnsi" w:hAnsiTheme="minorHAnsi" w:cstheme="minorHAnsi"/>
        </w:rPr>
      </w:pPr>
    </w:p>
    <w:p w14:paraId="71DE838F" w14:textId="77777777" w:rsidR="00CC54F5" w:rsidRDefault="00CC54F5" w:rsidP="00CC54F5">
      <w:pPr>
        <w:keepNext/>
        <w:autoSpaceDE/>
        <w:autoSpaceDN/>
        <w:adjustRightInd/>
        <w:spacing w:before="0" w:line="259" w:lineRule="auto"/>
        <w:jc w:val="both"/>
        <w:rPr>
          <w:rFonts w:cs="Calibri"/>
          <w:b/>
          <w:bCs/>
        </w:rPr>
      </w:pPr>
      <w:r w:rsidRPr="00194727">
        <w:rPr>
          <w:rFonts w:cs="Calibri"/>
          <w:b/>
          <w:bCs/>
        </w:rPr>
        <w:t>Using Assessment Results</w:t>
      </w:r>
    </w:p>
    <w:p w14:paraId="0069E649" w14:textId="77777777" w:rsidR="00CC54F5" w:rsidRPr="00170BDA" w:rsidRDefault="00CC54F5" w:rsidP="00CC54F5">
      <w:pPr>
        <w:spacing w:before="0"/>
        <w:jc w:val="both"/>
        <w:rPr>
          <w:rFonts w:cs="Calibri"/>
        </w:rPr>
      </w:pPr>
      <w:r w:rsidRPr="00170BDA">
        <w:rPr>
          <w:rFonts w:cs="Calibri"/>
        </w:rPr>
        <w:t xml:space="preserve">Through the analysis of their own results, organisations can recognise their achievements and determine their own path to recordkeeping maturity. Prioritisation of improvements requiring minimal resourcing, and the recognition of achievements can lift the profile of a Records Management Unit and therefore overall information governance across the wider organisation. </w:t>
      </w:r>
    </w:p>
    <w:p w14:paraId="79B43032" w14:textId="77777777" w:rsidR="00CC54F5" w:rsidRPr="00170BDA" w:rsidRDefault="00CC54F5" w:rsidP="00CC54F5">
      <w:pPr>
        <w:spacing w:before="0"/>
        <w:jc w:val="both"/>
        <w:rPr>
          <w:rFonts w:cs="Calibri"/>
        </w:rPr>
      </w:pPr>
    </w:p>
    <w:p w14:paraId="10A9D86B" w14:textId="77777777" w:rsidR="00CC54F5" w:rsidRPr="00837473" w:rsidRDefault="00CC54F5" w:rsidP="00CC54F5">
      <w:pPr>
        <w:spacing w:before="0"/>
        <w:jc w:val="both"/>
        <w:rPr>
          <w:rFonts w:cs="Calibri"/>
        </w:rPr>
      </w:pPr>
      <w:r w:rsidRPr="00837473">
        <w:rPr>
          <w:rFonts w:cs="Calibri"/>
        </w:rPr>
        <w:t>When assessments are done well, the results provide</w:t>
      </w:r>
      <w:r>
        <w:rPr>
          <w:rFonts w:cs="Calibri"/>
        </w:rPr>
        <w:t xml:space="preserve"> a</w:t>
      </w:r>
      <w:r w:rsidRPr="00837473">
        <w:rPr>
          <w:rFonts w:cs="Calibri"/>
        </w:rPr>
        <w:t xml:space="preserve"> clear picture of the organisation</w:t>
      </w:r>
      <w:r>
        <w:rPr>
          <w:rFonts w:cs="Calibri"/>
        </w:rPr>
        <w:t>’</w:t>
      </w:r>
      <w:r w:rsidRPr="00837473">
        <w:rPr>
          <w:rFonts w:cs="Calibri"/>
        </w:rPr>
        <w:t xml:space="preserve">s records and information management state. Results tell a story. Results can be used to: </w:t>
      </w:r>
    </w:p>
    <w:p w14:paraId="5EE03219" w14:textId="77777777" w:rsidR="00CC54F5" w:rsidRPr="00837473" w:rsidRDefault="00CC54F5" w:rsidP="00CC54F5">
      <w:pPr>
        <w:pStyle w:val="ListParagraph"/>
        <w:numPr>
          <w:ilvl w:val="0"/>
          <w:numId w:val="6"/>
        </w:numPr>
        <w:autoSpaceDE/>
        <w:autoSpaceDN/>
        <w:adjustRightInd/>
        <w:spacing w:before="100" w:beforeAutospacing="1" w:after="100" w:afterAutospacing="1" w:line="259" w:lineRule="auto"/>
        <w:outlineLvl w:val="2"/>
        <w:rPr>
          <w:rFonts w:cstheme="minorHAnsi"/>
          <w:b/>
          <w:bCs/>
          <w:color w:val="22272B"/>
          <w:lang w:eastAsia="en-AU"/>
        </w:rPr>
      </w:pPr>
      <w:r w:rsidRPr="00837473">
        <w:rPr>
          <w:rFonts w:cstheme="minorHAnsi"/>
          <w:b/>
          <w:bCs/>
          <w:color w:val="22272B"/>
          <w:lang w:eastAsia="en-AU"/>
        </w:rPr>
        <w:t xml:space="preserve">Identify areas of strength and improvement - </w:t>
      </w:r>
      <w:r w:rsidRPr="00837473">
        <w:rPr>
          <w:rFonts w:cs="Calibri"/>
        </w:rPr>
        <w:t>results from the assessment can give insight into current and developing records management practice across an organisation. It can help identify areas of focus as well as success stories to celebrate and promote.</w:t>
      </w:r>
    </w:p>
    <w:p w14:paraId="59EECFE2" w14:textId="77777777" w:rsidR="00CC54F5" w:rsidRPr="00837473" w:rsidRDefault="00CC54F5" w:rsidP="00CC54F5">
      <w:pPr>
        <w:pStyle w:val="ListParagraph"/>
        <w:numPr>
          <w:ilvl w:val="0"/>
          <w:numId w:val="6"/>
        </w:numPr>
        <w:autoSpaceDE/>
        <w:autoSpaceDN/>
        <w:adjustRightInd/>
        <w:spacing w:before="100" w:beforeAutospacing="1" w:after="100" w:afterAutospacing="1" w:line="259" w:lineRule="auto"/>
        <w:outlineLvl w:val="2"/>
        <w:rPr>
          <w:rFonts w:cs="Calibri"/>
          <w:b/>
          <w:bCs/>
        </w:rPr>
      </w:pPr>
      <w:r w:rsidRPr="00837473">
        <w:rPr>
          <w:rFonts w:cs="Calibri"/>
          <w:b/>
          <w:bCs/>
        </w:rPr>
        <w:t xml:space="preserve">Improve decision-making </w:t>
      </w:r>
      <w:r w:rsidRPr="00837473">
        <w:rPr>
          <w:rFonts w:cs="Calibri"/>
        </w:rPr>
        <w:t>–</w:t>
      </w:r>
      <w:r>
        <w:rPr>
          <w:rFonts w:cs="Calibri"/>
        </w:rPr>
        <w:t xml:space="preserve"> u</w:t>
      </w:r>
      <w:r w:rsidRPr="00837473">
        <w:rPr>
          <w:rFonts w:cs="Calibri"/>
        </w:rPr>
        <w:t>se the facts and figures in the results to make informed decisions about what you should prioritise, celebrate, inform management about, spend time and effort on or allocate resources to.</w:t>
      </w:r>
    </w:p>
    <w:p w14:paraId="39A9F309" w14:textId="77777777" w:rsidR="00CC54F5" w:rsidRPr="00837473" w:rsidRDefault="00CC54F5" w:rsidP="00CC54F5">
      <w:pPr>
        <w:pStyle w:val="ListParagraph"/>
        <w:numPr>
          <w:ilvl w:val="0"/>
          <w:numId w:val="6"/>
        </w:numPr>
        <w:autoSpaceDE/>
        <w:autoSpaceDN/>
        <w:adjustRightInd/>
        <w:spacing w:before="100" w:beforeAutospacing="1" w:after="100" w:afterAutospacing="1" w:line="259" w:lineRule="auto"/>
        <w:rPr>
          <w:rFonts w:cstheme="minorHAnsi"/>
          <w:color w:val="22272B"/>
          <w:lang w:eastAsia="en-AU"/>
        </w:rPr>
      </w:pPr>
      <w:r w:rsidRPr="00837473">
        <w:rPr>
          <w:rFonts w:cs="Calibri"/>
          <w:b/>
          <w:bCs/>
        </w:rPr>
        <w:t xml:space="preserve">Report and inform </w:t>
      </w:r>
      <w:r w:rsidRPr="00837473">
        <w:rPr>
          <w:rFonts w:cs="Calibri"/>
        </w:rPr>
        <w:t>– determine who needs to know to get the best impact and build relationships.</w:t>
      </w:r>
      <w:r w:rsidRPr="00837473">
        <w:rPr>
          <w:rFonts w:cstheme="minorHAnsi"/>
          <w:color w:val="22272B"/>
          <w:lang w:eastAsia="en-AU"/>
        </w:rPr>
        <w:t xml:space="preserve"> Report on the current state of play of the records and information governance programs, open access, data sharing, privacy, and security.</w:t>
      </w:r>
    </w:p>
    <w:p w14:paraId="47DD6341" w14:textId="77777777" w:rsidR="00CC54F5" w:rsidRPr="00837473" w:rsidRDefault="00CC54F5" w:rsidP="00CC54F5">
      <w:pPr>
        <w:pStyle w:val="ListParagraph"/>
        <w:numPr>
          <w:ilvl w:val="1"/>
          <w:numId w:val="6"/>
        </w:numPr>
        <w:autoSpaceDE/>
        <w:autoSpaceDN/>
        <w:adjustRightInd/>
        <w:spacing w:before="100" w:beforeAutospacing="1" w:after="100" w:afterAutospacing="1" w:line="259" w:lineRule="auto"/>
        <w:rPr>
          <w:rFonts w:cstheme="minorHAnsi"/>
          <w:color w:val="22272B"/>
          <w:lang w:eastAsia="en-AU"/>
        </w:rPr>
      </w:pPr>
      <w:r w:rsidRPr="00837473">
        <w:rPr>
          <w:rFonts w:cstheme="minorHAnsi"/>
          <w:color w:val="22272B"/>
          <w:lang w:eastAsia="en-AU"/>
        </w:rPr>
        <w:t xml:space="preserve">Use the results to inform content in Annual Reports and other internal documents. </w:t>
      </w:r>
    </w:p>
    <w:p w14:paraId="13359D4B" w14:textId="77777777" w:rsidR="00CC54F5" w:rsidRPr="00837473" w:rsidRDefault="00CC54F5" w:rsidP="00CC54F5">
      <w:pPr>
        <w:pStyle w:val="ListParagraph"/>
        <w:numPr>
          <w:ilvl w:val="1"/>
          <w:numId w:val="6"/>
        </w:numPr>
        <w:autoSpaceDE/>
        <w:autoSpaceDN/>
        <w:adjustRightInd/>
        <w:spacing w:before="100" w:beforeAutospacing="1" w:after="100" w:afterAutospacing="1" w:line="259" w:lineRule="auto"/>
        <w:rPr>
          <w:rFonts w:cstheme="minorHAnsi"/>
          <w:color w:val="22272B"/>
          <w:lang w:eastAsia="en-AU"/>
        </w:rPr>
      </w:pPr>
      <w:r w:rsidRPr="00837473">
        <w:rPr>
          <w:rFonts w:cstheme="minorHAnsi"/>
          <w:color w:val="22272B"/>
          <w:lang w:eastAsia="en-AU"/>
        </w:rPr>
        <w:t xml:space="preserve">Look for opportunities to share your findings with other business areas who may have an interest and can become a strategic ally. </w:t>
      </w:r>
    </w:p>
    <w:p w14:paraId="0ADFF036" w14:textId="77777777" w:rsidR="00CC54F5" w:rsidRPr="00837473" w:rsidRDefault="00CC54F5" w:rsidP="00CC54F5">
      <w:pPr>
        <w:pStyle w:val="ListParagraph"/>
        <w:numPr>
          <w:ilvl w:val="0"/>
          <w:numId w:val="6"/>
        </w:numPr>
        <w:autoSpaceDE/>
        <w:autoSpaceDN/>
        <w:adjustRightInd/>
        <w:spacing w:before="0" w:after="160" w:line="259" w:lineRule="auto"/>
        <w:jc w:val="both"/>
        <w:rPr>
          <w:rFonts w:cs="Calibri"/>
          <w:b/>
          <w:bCs/>
        </w:rPr>
      </w:pPr>
      <w:r w:rsidRPr="00837473">
        <w:rPr>
          <w:rFonts w:cs="Calibri"/>
          <w:b/>
          <w:bCs/>
        </w:rPr>
        <w:t>Support a position or business case</w:t>
      </w:r>
      <w:r w:rsidRPr="00837473">
        <w:rPr>
          <w:rFonts w:cs="Calibri"/>
        </w:rPr>
        <w:t xml:space="preserve">– use the results as evidence to support a strategic direction, justify investment, bid for resources </w:t>
      </w:r>
      <w:r>
        <w:rPr>
          <w:rFonts w:cs="Calibri"/>
        </w:rPr>
        <w:t>(</w:t>
      </w:r>
      <w:r w:rsidRPr="00837473">
        <w:rPr>
          <w:rFonts w:cs="Calibri"/>
        </w:rPr>
        <w:t>including financial and human</w:t>
      </w:r>
      <w:r>
        <w:rPr>
          <w:rFonts w:cs="Calibri"/>
        </w:rPr>
        <w:t>)</w:t>
      </w:r>
      <w:r w:rsidRPr="00837473">
        <w:rPr>
          <w:rFonts w:cs="Calibri"/>
        </w:rPr>
        <w:t>, update or procure a system or to instigate a project.</w:t>
      </w:r>
      <w:r w:rsidRPr="00837473">
        <w:rPr>
          <w:rFonts w:cs="Calibri"/>
          <w:b/>
          <w:bCs/>
        </w:rPr>
        <w:t xml:space="preserve"> </w:t>
      </w:r>
    </w:p>
    <w:bookmarkEnd w:id="4"/>
    <w:p w14:paraId="4C0EF04E" w14:textId="77777777" w:rsidR="00CC54F5" w:rsidRPr="00837473" w:rsidRDefault="00CC54F5" w:rsidP="00CC54F5">
      <w:pPr>
        <w:pStyle w:val="ListParagraph"/>
        <w:numPr>
          <w:ilvl w:val="0"/>
          <w:numId w:val="6"/>
        </w:numPr>
        <w:autoSpaceDE/>
        <w:autoSpaceDN/>
        <w:adjustRightInd/>
        <w:spacing w:before="100" w:beforeAutospacing="1" w:after="100" w:afterAutospacing="1" w:line="259" w:lineRule="auto"/>
        <w:outlineLvl w:val="2"/>
        <w:rPr>
          <w:rFonts w:cs="Calibri"/>
        </w:rPr>
      </w:pPr>
      <w:r w:rsidRPr="00837473">
        <w:rPr>
          <w:rFonts w:cs="Calibri"/>
          <w:b/>
          <w:bCs/>
        </w:rPr>
        <w:t>Strategically plan</w:t>
      </w:r>
      <w:r w:rsidRPr="00837473">
        <w:rPr>
          <w:rFonts w:cs="Calibri"/>
        </w:rPr>
        <w:t xml:space="preserve"> - the results can help you identify and develop actionable plans to improve an area, a particular business unit’s capability or an information system</w:t>
      </w:r>
    </w:p>
    <w:p w14:paraId="7425AC03" w14:textId="77777777" w:rsidR="00CC54F5" w:rsidRPr="00837473" w:rsidRDefault="00CC54F5" w:rsidP="00CC54F5">
      <w:pPr>
        <w:pStyle w:val="ListParagraph"/>
        <w:numPr>
          <w:ilvl w:val="0"/>
          <w:numId w:val="6"/>
        </w:numPr>
        <w:autoSpaceDE/>
        <w:autoSpaceDN/>
        <w:adjustRightInd/>
        <w:spacing w:before="100" w:beforeAutospacing="1" w:after="100" w:afterAutospacing="1" w:line="259" w:lineRule="auto"/>
        <w:outlineLvl w:val="2"/>
        <w:rPr>
          <w:rFonts w:cstheme="minorHAnsi"/>
          <w:color w:val="22272B"/>
          <w:lang w:eastAsia="en-AU"/>
        </w:rPr>
      </w:pPr>
      <w:r w:rsidRPr="00837473">
        <w:rPr>
          <w:rFonts w:cs="Calibri"/>
          <w:b/>
          <w:bCs/>
        </w:rPr>
        <w:t>Help to strengthen business relationships -</w:t>
      </w:r>
      <w:r w:rsidRPr="00837473">
        <w:rPr>
          <w:rFonts w:cs="Calibri"/>
        </w:rPr>
        <w:t xml:space="preserve"> By talking about the results</w:t>
      </w:r>
      <w:r w:rsidRPr="00837473">
        <w:rPr>
          <w:rFonts w:cstheme="minorHAnsi"/>
          <w:color w:val="22272B"/>
          <w:lang w:eastAsia="en-AU"/>
        </w:rPr>
        <w:t xml:space="preserve"> you can build trust and create a shared commitment to developing improved outcomes. </w:t>
      </w:r>
    </w:p>
    <w:p w14:paraId="6444DA76" w14:textId="77777777" w:rsidR="00CC54F5" w:rsidRPr="00837473" w:rsidDel="0044265B" w:rsidRDefault="00CC54F5" w:rsidP="00CC54F5">
      <w:pPr>
        <w:pStyle w:val="ListParagraph"/>
        <w:numPr>
          <w:ilvl w:val="0"/>
          <w:numId w:val="6"/>
        </w:numPr>
        <w:autoSpaceDE/>
        <w:autoSpaceDN/>
        <w:adjustRightInd/>
        <w:spacing w:before="100" w:beforeAutospacing="1" w:after="100" w:afterAutospacing="1" w:line="259" w:lineRule="auto"/>
        <w:outlineLvl w:val="2"/>
        <w:rPr>
          <w:rFonts w:cs="Calibri"/>
        </w:rPr>
      </w:pPr>
      <w:r w:rsidRPr="00837473" w:rsidDel="0044265B">
        <w:rPr>
          <w:rFonts w:cs="Calibri"/>
          <w:b/>
          <w:bCs/>
        </w:rPr>
        <w:t xml:space="preserve">Measure and reflect on progress – </w:t>
      </w:r>
      <w:r w:rsidRPr="00837473" w:rsidDel="0044265B">
        <w:rPr>
          <w:rFonts w:cs="Calibri"/>
        </w:rPr>
        <w:t>use the results year on year to determine growth in maturity. Are there areas that have not progressed as well and need to be a future priority? What has influenced successes or caused a barrier?</w:t>
      </w:r>
    </w:p>
    <w:p w14:paraId="407DC5F2" w14:textId="77777777" w:rsidR="00CC54F5" w:rsidRPr="00837473" w:rsidRDefault="00CC54F5" w:rsidP="00CC54F5">
      <w:pPr>
        <w:pStyle w:val="ListParagraph"/>
        <w:numPr>
          <w:ilvl w:val="0"/>
          <w:numId w:val="6"/>
        </w:numPr>
        <w:autoSpaceDE/>
        <w:autoSpaceDN/>
        <w:adjustRightInd/>
        <w:spacing w:before="100" w:beforeAutospacing="1" w:after="100" w:afterAutospacing="1" w:line="259" w:lineRule="auto"/>
        <w:outlineLvl w:val="2"/>
        <w:rPr>
          <w:rFonts w:cstheme="minorHAnsi"/>
          <w:b/>
          <w:bCs/>
          <w:color w:val="22272B"/>
          <w:lang w:eastAsia="en-AU"/>
        </w:rPr>
      </w:pPr>
      <w:r w:rsidRPr="00837473">
        <w:rPr>
          <w:rFonts w:cstheme="minorHAnsi"/>
          <w:b/>
          <w:bCs/>
          <w:color w:val="22272B"/>
          <w:lang w:eastAsia="en-AU"/>
        </w:rPr>
        <w:t xml:space="preserve">Build human capability – </w:t>
      </w:r>
      <w:r w:rsidRPr="00837473">
        <w:rPr>
          <w:rFonts w:cs="Calibri"/>
        </w:rPr>
        <w:t>use the results to target training needs of the organisation as well as professional skills of records and information staff. Consider the results in determining workforce capability. What is required to meet the changing demands of the work landscape</w:t>
      </w:r>
      <w:r>
        <w:rPr>
          <w:rFonts w:cs="Calibri"/>
        </w:rPr>
        <w:t>?</w:t>
      </w:r>
      <w:r w:rsidRPr="00837473">
        <w:rPr>
          <w:rFonts w:cstheme="minorHAnsi"/>
          <w:b/>
          <w:bCs/>
          <w:color w:val="22272B"/>
          <w:lang w:eastAsia="en-AU"/>
        </w:rPr>
        <w:t xml:space="preserve">  </w:t>
      </w:r>
    </w:p>
    <w:p w14:paraId="341FB007" w14:textId="77777777" w:rsidR="00CC54F5" w:rsidRPr="004B110F" w:rsidRDefault="00CC54F5" w:rsidP="00CC54F5">
      <w:pPr>
        <w:pStyle w:val="ListParagraph"/>
        <w:numPr>
          <w:ilvl w:val="0"/>
          <w:numId w:val="6"/>
        </w:numPr>
        <w:autoSpaceDE/>
        <w:autoSpaceDN/>
        <w:adjustRightInd/>
        <w:spacing w:before="100" w:beforeAutospacing="1" w:after="100" w:afterAutospacing="1" w:line="259" w:lineRule="auto"/>
        <w:outlineLvl w:val="2"/>
        <w:rPr>
          <w:rFonts w:cs="Calibri"/>
        </w:rPr>
      </w:pPr>
      <w:r w:rsidRPr="004B110F">
        <w:rPr>
          <w:rFonts w:cstheme="minorHAnsi"/>
          <w:b/>
          <w:bCs/>
        </w:rPr>
        <w:lastRenderedPageBreak/>
        <w:t>Collaborate</w:t>
      </w:r>
      <w:r w:rsidRPr="004B110F">
        <w:rPr>
          <w:rFonts w:cstheme="minorHAnsi"/>
        </w:rPr>
        <w:t xml:space="preserve"> -The assessment can also provide opportunity for Directorates to collaborate, through the sharing of knowledge and data, to develop or replicate successful record</w:t>
      </w:r>
      <w:r>
        <w:rPr>
          <w:rFonts w:cstheme="minorHAnsi"/>
        </w:rPr>
        <w:t>s</w:t>
      </w:r>
      <w:r w:rsidRPr="004B110F">
        <w:rPr>
          <w:rFonts w:cstheme="minorHAnsi"/>
        </w:rPr>
        <w:t xml:space="preserve"> management approaches in relation to the various principles.</w:t>
      </w:r>
    </w:p>
    <w:p w14:paraId="3EB0D196" w14:textId="77777777" w:rsidR="00CC54F5" w:rsidRPr="00170BDA" w:rsidRDefault="00CC54F5" w:rsidP="00CC54F5">
      <w:pPr>
        <w:keepNext/>
        <w:autoSpaceDE/>
        <w:autoSpaceDN/>
        <w:adjustRightInd/>
        <w:spacing w:before="0" w:line="259" w:lineRule="auto"/>
        <w:jc w:val="both"/>
        <w:rPr>
          <w:rFonts w:cs="Calibri"/>
          <w:b/>
          <w:bCs/>
        </w:rPr>
      </w:pPr>
      <w:r w:rsidRPr="00170BDA">
        <w:rPr>
          <w:rFonts w:cs="Calibri"/>
          <w:b/>
          <w:bCs/>
        </w:rPr>
        <w:t>Using the results</w:t>
      </w:r>
    </w:p>
    <w:p w14:paraId="2065478D" w14:textId="77777777" w:rsidR="00CC54F5" w:rsidRPr="00837473" w:rsidRDefault="00CC54F5" w:rsidP="00CC54F5">
      <w:pPr>
        <w:autoSpaceDE/>
        <w:autoSpaceDN/>
        <w:adjustRightInd/>
        <w:spacing w:before="100" w:beforeAutospacing="1" w:after="100" w:afterAutospacing="1"/>
        <w:outlineLvl w:val="2"/>
        <w:rPr>
          <w:rFonts w:cs="Calibri"/>
        </w:rPr>
      </w:pPr>
      <w:r w:rsidRPr="00837473">
        <w:rPr>
          <w:rFonts w:cs="Calibri"/>
        </w:rPr>
        <w:t xml:space="preserve">Using the results, the TRO and agencies can engage in strategic initiatives to support capability including knowledge, skills and ideas.  </w:t>
      </w:r>
      <w:r>
        <w:rPr>
          <w:rFonts w:cs="Calibri"/>
        </w:rPr>
        <w:t>For example, a</w:t>
      </w:r>
      <w:r w:rsidRPr="00837473">
        <w:rPr>
          <w:rFonts w:cs="Calibri"/>
        </w:rPr>
        <w:t>ssessment results helped inform strategic documents including the TRO’s five-year maturity implementation plan for improving records and information across the ACT Public Service. This has led to collaborative efforts in developing records and information case studies and defining expectations for induction training for new starters to the ACT government public service.</w:t>
      </w:r>
    </w:p>
    <w:p w14:paraId="6876C0D1" w14:textId="77777777" w:rsidR="00CC54F5" w:rsidRPr="00837473" w:rsidRDefault="00CC54F5" w:rsidP="00CC54F5">
      <w:pPr>
        <w:autoSpaceDE/>
        <w:autoSpaceDN/>
        <w:adjustRightInd/>
        <w:spacing w:before="0" w:after="160" w:line="259" w:lineRule="auto"/>
        <w:rPr>
          <w:rFonts w:asciiTheme="minorHAnsi" w:hAnsiTheme="minorHAnsi" w:cstheme="minorHAnsi"/>
          <w:color w:val="000000" w:themeColor="text1"/>
        </w:rPr>
      </w:pPr>
      <w:r w:rsidRPr="00837473">
        <w:rPr>
          <w:rFonts w:asciiTheme="minorHAnsi" w:hAnsiTheme="minorHAnsi" w:cstheme="minorHAnsi"/>
          <w:color w:val="000000" w:themeColor="text1"/>
        </w:rPr>
        <w:t>Examples from directorates include:</w:t>
      </w:r>
    </w:p>
    <w:p w14:paraId="2ECFEE8A" w14:textId="77777777" w:rsidR="00CC54F5" w:rsidRPr="00837473" w:rsidRDefault="00CC54F5" w:rsidP="00CC54F5">
      <w:pPr>
        <w:pStyle w:val="ListParagraph"/>
        <w:numPr>
          <w:ilvl w:val="0"/>
          <w:numId w:val="5"/>
        </w:numPr>
        <w:autoSpaceDE/>
        <w:autoSpaceDN/>
        <w:adjustRightInd/>
        <w:spacing w:before="0" w:after="160" w:line="259" w:lineRule="auto"/>
        <w:jc w:val="both"/>
        <w:rPr>
          <w:color w:val="000000" w:themeColor="text1"/>
        </w:rPr>
      </w:pPr>
      <w:r w:rsidRPr="00837473">
        <w:rPr>
          <w:rFonts w:cstheme="minorHAnsi"/>
          <w:color w:val="000000" w:themeColor="text1"/>
        </w:rPr>
        <w:t xml:space="preserve">CMTEDD </w:t>
      </w:r>
      <w:r>
        <w:rPr>
          <w:rFonts w:cstheme="minorHAnsi"/>
          <w:color w:val="000000" w:themeColor="text1"/>
        </w:rPr>
        <w:t>used</w:t>
      </w:r>
      <w:r w:rsidRPr="00837473">
        <w:rPr>
          <w:rFonts w:cstheme="minorHAnsi"/>
          <w:color w:val="000000" w:themeColor="text1"/>
        </w:rPr>
        <w:t xml:space="preserve"> the results of their </w:t>
      </w:r>
      <w:r>
        <w:rPr>
          <w:rFonts w:cstheme="minorHAnsi"/>
          <w:color w:val="000000" w:themeColor="text1"/>
        </w:rPr>
        <w:t xml:space="preserve">2020 and </w:t>
      </w:r>
      <w:r w:rsidRPr="00837473">
        <w:rPr>
          <w:rFonts w:cstheme="minorHAnsi"/>
          <w:color w:val="000000" w:themeColor="text1"/>
        </w:rPr>
        <w:t xml:space="preserve">2021 Maturity Assessments to </w:t>
      </w:r>
      <w:r>
        <w:rPr>
          <w:rFonts w:cstheme="minorHAnsi"/>
          <w:color w:val="000000" w:themeColor="text1"/>
        </w:rPr>
        <w:t xml:space="preserve">help </w:t>
      </w:r>
      <w:r w:rsidRPr="00837473">
        <w:rPr>
          <w:rFonts w:cstheme="minorHAnsi"/>
          <w:color w:val="000000" w:themeColor="text1"/>
        </w:rPr>
        <w:t xml:space="preserve">build a business case for more resources for a digital records team </w:t>
      </w:r>
      <w:r w:rsidRPr="00837473">
        <w:t xml:space="preserve">to assist </w:t>
      </w:r>
      <w:r>
        <w:t>the</w:t>
      </w:r>
      <w:r w:rsidRPr="00837473">
        <w:t xml:space="preserve"> directorate to achieve greater digital information management maturity. They successfully obtained funding to include a permanent Digital Information Man</w:t>
      </w:r>
      <w:r>
        <w:t>a</w:t>
      </w:r>
      <w:r w:rsidRPr="00837473">
        <w:t>ger Role and EDRMS helpdesk support position.</w:t>
      </w:r>
    </w:p>
    <w:p w14:paraId="79FEEB16" w14:textId="77777777" w:rsidR="00CC54F5" w:rsidRPr="00837473" w:rsidRDefault="00CC54F5" w:rsidP="00CC54F5">
      <w:pPr>
        <w:pStyle w:val="ListParagraph"/>
        <w:numPr>
          <w:ilvl w:val="0"/>
          <w:numId w:val="5"/>
        </w:numPr>
        <w:autoSpaceDE/>
        <w:autoSpaceDN/>
        <w:adjustRightInd/>
        <w:spacing w:before="0" w:after="160" w:line="259" w:lineRule="auto"/>
        <w:jc w:val="both"/>
        <w:rPr>
          <w:color w:val="000000" w:themeColor="text1"/>
        </w:rPr>
      </w:pPr>
      <w:r w:rsidRPr="00837473">
        <w:rPr>
          <w:color w:val="000000" w:themeColor="text1"/>
        </w:rPr>
        <w:t xml:space="preserve">EPSDD drew on data from the 2022 Assessment </w:t>
      </w:r>
      <w:r>
        <w:rPr>
          <w:color w:val="000000" w:themeColor="text1"/>
        </w:rPr>
        <w:t>to inform their</w:t>
      </w:r>
      <w:r w:rsidRPr="00837473">
        <w:rPr>
          <w:color w:val="000000" w:themeColor="text1"/>
        </w:rPr>
        <w:t xml:space="preserve"> revised R</w:t>
      </w:r>
      <w:r>
        <w:rPr>
          <w:color w:val="000000" w:themeColor="text1"/>
        </w:rPr>
        <w:t>ecords Management</w:t>
      </w:r>
      <w:r w:rsidRPr="00837473">
        <w:rPr>
          <w:color w:val="000000" w:themeColor="text1"/>
        </w:rPr>
        <w:t xml:space="preserve"> policy and program.  </w:t>
      </w:r>
    </w:p>
    <w:p w14:paraId="438DABB8" w14:textId="77777777" w:rsidR="00CC54F5" w:rsidRPr="00837473" w:rsidRDefault="00CC54F5" w:rsidP="00CC54F5">
      <w:pPr>
        <w:pStyle w:val="PlainText"/>
        <w:numPr>
          <w:ilvl w:val="0"/>
          <w:numId w:val="5"/>
        </w:numPr>
        <w:jc w:val="both"/>
        <w:rPr>
          <w:color w:val="000000" w:themeColor="text1"/>
          <w:sz w:val="24"/>
          <w:szCs w:val="24"/>
        </w:rPr>
      </w:pPr>
      <w:r w:rsidRPr="00837473">
        <w:rPr>
          <w:sz w:val="24"/>
          <w:szCs w:val="24"/>
        </w:rPr>
        <w:t>CHS</w:t>
      </w:r>
      <w:r>
        <w:rPr>
          <w:sz w:val="24"/>
          <w:szCs w:val="24"/>
        </w:rPr>
        <w:t>’s</w:t>
      </w:r>
      <w:r w:rsidRPr="00837473">
        <w:rPr>
          <w:sz w:val="24"/>
          <w:szCs w:val="24"/>
        </w:rPr>
        <w:t xml:space="preserve"> </w:t>
      </w:r>
      <w:r>
        <w:rPr>
          <w:sz w:val="24"/>
          <w:szCs w:val="24"/>
        </w:rPr>
        <w:t>c</w:t>
      </w:r>
      <w:r w:rsidRPr="00837473">
        <w:rPr>
          <w:sz w:val="24"/>
          <w:szCs w:val="24"/>
        </w:rPr>
        <w:t xml:space="preserve">ombined Maturity Assessment </w:t>
      </w:r>
      <w:r>
        <w:rPr>
          <w:sz w:val="24"/>
          <w:szCs w:val="24"/>
        </w:rPr>
        <w:t>r</w:t>
      </w:r>
      <w:r w:rsidRPr="00837473">
        <w:rPr>
          <w:sz w:val="24"/>
          <w:szCs w:val="24"/>
        </w:rPr>
        <w:t>esponse of Corporate and Clinical Records in</w:t>
      </w:r>
      <w:r>
        <w:rPr>
          <w:sz w:val="24"/>
          <w:szCs w:val="24"/>
        </w:rPr>
        <w:t xml:space="preserve"> </w:t>
      </w:r>
      <w:r w:rsidRPr="00837473">
        <w:rPr>
          <w:sz w:val="24"/>
          <w:szCs w:val="24"/>
        </w:rPr>
        <w:t xml:space="preserve">2022 led to revised assessment rankings and a clearer picture of the Directorate wide environment. </w:t>
      </w:r>
    </w:p>
    <w:p w14:paraId="2D018E15" w14:textId="77777777" w:rsidR="00CC54F5" w:rsidRDefault="00CC54F5" w:rsidP="00CC54F5">
      <w:pPr>
        <w:jc w:val="both"/>
        <w:rPr>
          <w:rFonts w:cs="Calibri"/>
        </w:rPr>
      </w:pPr>
      <w:r w:rsidRPr="00837473">
        <w:rPr>
          <w:rFonts w:cs="Calibri"/>
        </w:rPr>
        <w:t xml:space="preserve">The results of the Maturity Assessment provide an opportunity for directorates and agencies to review their business and implement performance measurement processes.  Monitoring is the first step, analysing the results is the next and most important one. Having hard data supplied by the Maturity Assessment provides the opportunity to align the records management program with higher-level corporate planning and objectives. </w:t>
      </w:r>
    </w:p>
    <w:p w14:paraId="159C6F61" w14:textId="2D69A213" w:rsidR="00E77D3E" w:rsidRPr="00837473" w:rsidRDefault="00E77D3E" w:rsidP="00E77D3E">
      <w:pPr>
        <w:autoSpaceDE/>
        <w:autoSpaceDN/>
        <w:adjustRightInd/>
        <w:spacing w:before="0" w:after="160" w:line="259" w:lineRule="auto"/>
        <w:rPr>
          <w:rFonts w:cs="Calibri"/>
        </w:rPr>
      </w:pPr>
      <w:r>
        <w:rPr>
          <w:rFonts w:cs="Calibri"/>
        </w:rPr>
        <w:br w:type="page"/>
      </w:r>
    </w:p>
    <w:p w14:paraId="64C65F4C" w14:textId="77777777" w:rsidR="00E77D3E" w:rsidRPr="00135572" w:rsidRDefault="00E77D3E" w:rsidP="00E77D3E">
      <w:pPr>
        <w:rPr>
          <w:szCs w:val="22"/>
        </w:rPr>
      </w:pPr>
      <w:r w:rsidRPr="00135572">
        <w:rPr>
          <w:noProof/>
          <w:szCs w:val="22"/>
        </w:rPr>
        <w:lastRenderedPageBreak/>
        <w:drawing>
          <wp:inline distT="0" distB="0" distL="0" distR="0" wp14:anchorId="52582279" wp14:editId="1A2F53B3">
            <wp:extent cx="1428750" cy="419100"/>
            <wp:effectExtent l="0" t="0" r="0" b="0"/>
            <wp:docPr id="4" name="Picture 4" descr="Creative commons log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ative commons logo.">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419100"/>
                    </a:xfrm>
                    <a:prstGeom prst="rect">
                      <a:avLst/>
                    </a:prstGeom>
                    <a:noFill/>
                    <a:ln>
                      <a:noFill/>
                    </a:ln>
                  </pic:spPr>
                </pic:pic>
              </a:graphicData>
            </a:graphic>
          </wp:inline>
        </w:drawing>
      </w:r>
    </w:p>
    <w:p w14:paraId="2942C3D2" w14:textId="77777777" w:rsidR="00E77D3E" w:rsidRDefault="00E77D3E" w:rsidP="00E77D3E">
      <w:pPr>
        <w:rPr>
          <w:szCs w:val="22"/>
        </w:rPr>
      </w:pPr>
      <w:r w:rsidRPr="00135572">
        <w:rPr>
          <w:szCs w:val="22"/>
        </w:rPr>
        <w:t xml:space="preserve">The </w:t>
      </w:r>
      <w:r w:rsidRPr="00AF719F">
        <w:rPr>
          <w:i/>
          <w:iCs/>
          <w:color w:val="0D0D0D" w:themeColor="text1" w:themeTint="F2"/>
          <w:szCs w:val="22"/>
        </w:rPr>
        <w:t xml:space="preserve">Social Media Capture - Content and Scenarios </w:t>
      </w:r>
      <w:r w:rsidRPr="005A0B59">
        <w:rPr>
          <w:szCs w:val="22"/>
        </w:rPr>
        <w:t xml:space="preserve">Records Advice </w:t>
      </w:r>
      <w:r w:rsidRPr="00135572">
        <w:rPr>
          <w:szCs w:val="22"/>
        </w:rPr>
        <w:t xml:space="preserve">is licensed under </w:t>
      </w:r>
      <w:hyperlink r:id="rId12" w:history="1">
        <w:r w:rsidRPr="00135572">
          <w:rPr>
            <w:rStyle w:val="Hyperlink"/>
            <w:szCs w:val="22"/>
          </w:rPr>
          <w:t>Creative Commons — Attribution 4.0 International — CC BY 4.0</w:t>
        </w:r>
      </w:hyperlink>
      <w:r>
        <w:rPr>
          <w:szCs w:val="22"/>
        </w:rPr>
        <w:t>.</w:t>
      </w:r>
      <w:r w:rsidRPr="005A0B59">
        <w:t xml:space="preserve"> </w:t>
      </w:r>
      <w:r w:rsidRPr="005A0B59">
        <w:rPr>
          <w:szCs w:val="22"/>
        </w:rPr>
        <w:t>You are free to re-use the work under that licence with attribution.</w:t>
      </w:r>
    </w:p>
    <w:p w14:paraId="015F27A2" w14:textId="77777777" w:rsidR="00E77D3E" w:rsidRPr="00135572" w:rsidRDefault="00E77D3E" w:rsidP="00E77D3E">
      <w:pPr>
        <w:pStyle w:val="BodyText"/>
      </w:pPr>
      <w:r>
        <w:t xml:space="preserve">Please give attribution to: </w:t>
      </w:r>
      <w:r w:rsidRPr="00135572">
        <w:t>© Australian Capital Territory</w:t>
      </w:r>
      <w:r>
        <w:t xml:space="preserve">, </w:t>
      </w:r>
      <w:r w:rsidRPr="00AF719F">
        <w:rPr>
          <w:color w:val="0D0D0D" w:themeColor="text1" w:themeTint="F2"/>
        </w:rPr>
        <w:t>2023</w:t>
      </w:r>
    </w:p>
    <w:p w14:paraId="3A802B3F" w14:textId="77777777" w:rsidR="00E77D3E" w:rsidRPr="00135572" w:rsidRDefault="00E77D3E" w:rsidP="00E77D3E">
      <w:pPr>
        <w:pStyle w:val="BodyText"/>
      </w:pPr>
      <w:r w:rsidRPr="00135572">
        <w:t>The licence does not apply to the ACT Coat of Arms, the ACT Government logo and branding, images, artwork, photographs or any material protected by trademark.</w:t>
      </w:r>
    </w:p>
    <w:p w14:paraId="6207EEF8" w14:textId="77777777" w:rsidR="00E77D3E" w:rsidRPr="00135572" w:rsidRDefault="00E77D3E" w:rsidP="00E77D3E">
      <w:pPr>
        <w:pStyle w:val="Heading1"/>
        <w:rPr>
          <w:sz w:val="22"/>
          <w:szCs w:val="22"/>
        </w:rPr>
      </w:pPr>
      <w:r w:rsidRPr="00135572">
        <w:rPr>
          <w:sz w:val="22"/>
          <w:szCs w:val="22"/>
        </w:rPr>
        <w:t xml:space="preserve">CONTACT US </w:t>
      </w:r>
    </w:p>
    <w:p w14:paraId="656798A7" w14:textId="77777777" w:rsidR="00E77D3E" w:rsidRPr="00135572" w:rsidRDefault="00E77D3E" w:rsidP="00E77D3E">
      <w:pPr>
        <w:autoSpaceDE/>
        <w:autoSpaceDN/>
        <w:adjustRightInd/>
        <w:spacing w:before="0"/>
        <w:rPr>
          <w:rFonts w:eastAsia="MS PGothic" w:cs="Calibri"/>
          <w:szCs w:val="22"/>
        </w:rPr>
      </w:pPr>
      <w:r w:rsidRPr="00135572">
        <w:rPr>
          <w:szCs w:val="22"/>
        </w:rPr>
        <w:t xml:space="preserve">Territory Records Office | </w:t>
      </w:r>
      <w:hyperlink r:id="rId13" w:history="1">
        <w:r w:rsidRPr="00135572">
          <w:rPr>
            <w:rFonts w:eastAsia="MS PGothic" w:cs="Calibri"/>
            <w:color w:val="0563C1"/>
            <w:szCs w:val="22"/>
            <w:u w:val="single"/>
          </w:rPr>
          <w:t>www.territoryrecords.act.gov.au</w:t>
        </w:r>
      </w:hyperlink>
      <w:r w:rsidRPr="00135572">
        <w:rPr>
          <w:szCs w:val="22"/>
        </w:rPr>
        <w:t xml:space="preserve">| </w:t>
      </w:r>
      <w:hyperlink r:id="rId14" w:history="1">
        <w:r w:rsidRPr="00135572">
          <w:rPr>
            <w:rFonts w:eastAsia="MS PGothic" w:cs="Calibri"/>
            <w:color w:val="0563C1"/>
            <w:szCs w:val="22"/>
            <w:u w:val="single"/>
          </w:rPr>
          <w:t>TRO@act.gov.au</w:t>
        </w:r>
      </w:hyperlink>
    </w:p>
    <w:p w14:paraId="4D9949AB" w14:textId="77777777" w:rsidR="007C3780" w:rsidRPr="007B645D" w:rsidRDefault="007C3780" w:rsidP="007C3780"/>
    <w:sectPr w:rsidR="007C3780" w:rsidRPr="007B645D" w:rsidSect="00105161">
      <w:footerReference w:type="default" r:id="rId15"/>
      <w:headerReference w:type="first" r:id="rId16"/>
      <w:footerReference w:type="first" r:id="rId17"/>
      <w:pgSz w:w="11906" w:h="16838"/>
      <w:pgMar w:top="1440" w:right="1274" w:bottom="1440" w:left="1440" w:header="39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3260E" w14:textId="77777777" w:rsidR="00CC54F5" w:rsidRDefault="00CC54F5" w:rsidP="007C3780">
      <w:r>
        <w:separator/>
      </w:r>
    </w:p>
  </w:endnote>
  <w:endnote w:type="continuationSeparator" w:id="0">
    <w:p w14:paraId="3B35AB18" w14:textId="77777777" w:rsidR="00CC54F5" w:rsidRDefault="00CC54F5" w:rsidP="007C3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19BE9" w14:textId="43CC21F4" w:rsidR="00CC54F5" w:rsidRDefault="00CC54F5">
    <w:pPr>
      <w:pStyle w:val="Footer"/>
    </w:pPr>
    <w:r w:rsidRPr="007C3780">
      <w:rPr>
        <w:sz w:val="20"/>
        <w:szCs w:val="20"/>
      </w:rPr>
      <w:t xml:space="preserve">Version:  1.0  </w:t>
    </w:r>
    <w:r>
      <w:rPr>
        <w:sz w:val="20"/>
        <w:szCs w:val="20"/>
      </w:rPr>
      <w:tab/>
    </w:r>
    <w:r w:rsidRPr="007C3780">
      <w:rPr>
        <w:sz w:val="20"/>
        <w:szCs w:val="20"/>
      </w:rPr>
      <w:t xml:space="preserve">Page </w:t>
    </w:r>
    <w:r w:rsidRPr="007C3780">
      <w:rPr>
        <w:sz w:val="20"/>
        <w:szCs w:val="20"/>
      </w:rPr>
      <w:fldChar w:fldCharType="begin"/>
    </w:r>
    <w:r w:rsidRPr="007C3780">
      <w:rPr>
        <w:sz w:val="20"/>
        <w:szCs w:val="20"/>
      </w:rPr>
      <w:instrText xml:space="preserve"> PAGE   \* MERGEFORMAT </w:instrText>
    </w:r>
    <w:r w:rsidRPr="007C3780">
      <w:rPr>
        <w:sz w:val="20"/>
        <w:szCs w:val="20"/>
      </w:rPr>
      <w:fldChar w:fldCharType="separate"/>
    </w:r>
    <w:r>
      <w:rPr>
        <w:sz w:val="20"/>
        <w:szCs w:val="20"/>
      </w:rPr>
      <w:t>1</w:t>
    </w:r>
    <w:r w:rsidRPr="007C3780">
      <w:rPr>
        <w:sz w:val="20"/>
        <w:szCs w:val="20"/>
      </w:rPr>
      <w:fldChar w:fldCharType="end"/>
    </w:r>
    <w:r w:rsidRPr="007C3780">
      <w:rPr>
        <w:sz w:val="20"/>
        <w:szCs w:val="20"/>
      </w:rPr>
      <w:tab/>
      <w:t xml:space="preserve"> Last update: </w:t>
    </w:r>
    <w:r w:rsidRPr="007C3780">
      <w:rPr>
        <w:sz w:val="20"/>
        <w:szCs w:val="20"/>
      </w:rPr>
      <w:fldChar w:fldCharType="begin"/>
    </w:r>
    <w:r w:rsidRPr="007C3780">
      <w:rPr>
        <w:sz w:val="20"/>
        <w:szCs w:val="20"/>
      </w:rPr>
      <w:instrText xml:space="preserve"> DATE \@ "dd/MM/yyyy" </w:instrText>
    </w:r>
    <w:r w:rsidRPr="007C3780">
      <w:rPr>
        <w:sz w:val="20"/>
        <w:szCs w:val="20"/>
      </w:rPr>
      <w:fldChar w:fldCharType="separate"/>
    </w:r>
    <w:r w:rsidR="00E77D3E">
      <w:rPr>
        <w:noProof/>
        <w:sz w:val="20"/>
        <w:szCs w:val="20"/>
      </w:rPr>
      <w:t>12/01/2024</w:t>
    </w:r>
    <w:r w:rsidRPr="007C3780">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4AE0A" w14:textId="07B9F899" w:rsidR="00713709" w:rsidRPr="007C3780" w:rsidRDefault="007C3780" w:rsidP="007C3780">
    <w:pPr>
      <w:spacing w:before="0"/>
      <w:rPr>
        <w:rFonts w:eastAsia="Calibri"/>
        <w:color w:val="0563C1" w:themeColor="hyperlink"/>
        <w:sz w:val="20"/>
        <w:szCs w:val="20"/>
        <w:u w:val="single"/>
      </w:rPr>
    </w:pPr>
    <w:r w:rsidRPr="007C3780">
      <w:rPr>
        <w:sz w:val="20"/>
        <w:szCs w:val="20"/>
      </w:rPr>
      <w:t xml:space="preserve">Version:  1.0  </w:t>
    </w:r>
    <w:r w:rsidRPr="007C3780">
      <w:rPr>
        <w:sz w:val="20"/>
        <w:szCs w:val="20"/>
      </w:rPr>
      <w:tab/>
    </w:r>
    <w:r>
      <w:rPr>
        <w:sz w:val="20"/>
        <w:szCs w:val="20"/>
      </w:rPr>
      <w:tab/>
    </w:r>
    <w:r>
      <w:rPr>
        <w:sz w:val="20"/>
        <w:szCs w:val="20"/>
      </w:rPr>
      <w:tab/>
    </w:r>
    <w:r>
      <w:rPr>
        <w:sz w:val="20"/>
        <w:szCs w:val="20"/>
      </w:rPr>
      <w:tab/>
    </w:r>
    <w:r w:rsidRPr="007C3780">
      <w:rPr>
        <w:sz w:val="20"/>
        <w:szCs w:val="20"/>
      </w:rPr>
      <w:t xml:space="preserve">Page </w:t>
    </w:r>
    <w:r w:rsidRPr="007C3780">
      <w:rPr>
        <w:sz w:val="20"/>
        <w:szCs w:val="20"/>
      </w:rPr>
      <w:fldChar w:fldCharType="begin"/>
    </w:r>
    <w:r w:rsidRPr="007C3780">
      <w:rPr>
        <w:sz w:val="20"/>
        <w:szCs w:val="20"/>
      </w:rPr>
      <w:instrText xml:space="preserve"> PAGE   \* MERGEFORMAT </w:instrText>
    </w:r>
    <w:r w:rsidRPr="007C3780">
      <w:rPr>
        <w:sz w:val="20"/>
        <w:szCs w:val="20"/>
      </w:rPr>
      <w:fldChar w:fldCharType="separate"/>
    </w:r>
    <w:r>
      <w:rPr>
        <w:noProof/>
        <w:sz w:val="20"/>
        <w:szCs w:val="20"/>
      </w:rPr>
      <w:t>1</w:t>
    </w:r>
    <w:r w:rsidRPr="007C3780">
      <w:rPr>
        <w:sz w:val="20"/>
        <w:szCs w:val="20"/>
      </w:rPr>
      <w:fldChar w:fldCharType="end"/>
    </w:r>
    <w:r w:rsidRPr="007C3780">
      <w:rPr>
        <w:sz w:val="20"/>
        <w:szCs w:val="20"/>
      </w:rPr>
      <w:tab/>
      <w:t xml:space="preserve"> </w:t>
    </w:r>
    <w:r>
      <w:rPr>
        <w:sz w:val="20"/>
        <w:szCs w:val="20"/>
      </w:rPr>
      <w:tab/>
    </w:r>
    <w:r>
      <w:rPr>
        <w:sz w:val="20"/>
        <w:szCs w:val="20"/>
      </w:rPr>
      <w:tab/>
    </w:r>
    <w:r>
      <w:rPr>
        <w:sz w:val="20"/>
        <w:szCs w:val="20"/>
      </w:rPr>
      <w:tab/>
    </w:r>
    <w:r w:rsidRPr="007C3780">
      <w:rPr>
        <w:sz w:val="20"/>
        <w:szCs w:val="20"/>
      </w:rPr>
      <w:t xml:space="preserve">Last update: </w:t>
    </w:r>
    <w:r w:rsidRPr="007C3780">
      <w:rPr>
        <w:sz w:val="20"/>
        <w:szCs w:val="20"/>
      </w:rPr>
      <w:fldChar w:fldCharType="begin"/>
    </w:r>
    <w:r w:rsidRPr="007C3780">
      <w:rPr>
        <w:sz w:val="20"/>
        <w:szCs w:val="20"/>
      </w:rPr>
      <w:instrText xml:space="preserve"> DATE \@ "dd/MM/yyyy" </w:instrText>
    </w:r>
    <w:r w:rsidRPr="007C3780">
      <w:rPr>
        <w:sz w:val="20"/>
        <w:szCs w:val="20"/>
      </w:rPr>
      <w:fldChar w:fldCharType="separate"/>
    </w:r>
    <w:r w:rsidR="00E77D3E">
      <w:rPr>
        <w:noProof/>
        <w:sz w:val="20"/>
        <w:szCs w:val="20"/>
      </w:rPr>
      <w:t>12/01/2024</w:t>
    </w:r>
    <w:r w:rsidRPr="007C3780">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D4C1F" w14:textId="77777777" w:rsidR="00CC54F5" w:rsidRDefault="00CC54F5" w:rsidP="007C3780">
      <w:r>
        <w:separator/>
      </w:r>
    </w:p>
  </w:footnote>
  <w:footnote w:type="continuationSeparator" w:id="0">
    <w:p w14:paraId="4FF3CFBE" w14:textId="77777777" w:rsidR="00CC54F5" w:rsidRDefault="00CC54F5" w:rsidP="007C3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6225D" w14:textId="77777777" w:rsidR="00105161" w:rsidRDefault="00105161" w:rsidP="007C3780">
    <w:pPr>
      <w:pStyle w:val="Header"/>
    </w:pPr>
    <w:r>
      <w:rPr>
        <w:noProof/>
        <w:lang w:eastAsia="en-AU"/>
      </w:rPr>
      <w:drawing>
        <wp:anchor distT="0" distB="0" distL="114300" distR="114300" simplePos="0" relativeHeight="251661312" behindDoc="1" locked="0" layoutInCell="1" allowOverlap="1" wp14:anchorId="6E2C16AD" wp14:editId="14553339">
          <wp:simplePos x="0" y="0"/>
          <wp:positionH relativeFrom="page">
            <wp:posOffset>-19050</wp:posOffset>
          </wp:positionH>
          <wp:positionV relativeFrom="paragraph">
            <wp:posOffset>-480695</wp:posOffset>
          </wp:positionV>
          <wp:extent cx="7734300" cy="1714500"/>
          <wp:effectExtent l="0" t="0" r="0" b="0"/>
          <wp:wrapNone/>
          <wp:docPr id="2" name="Picture 2" descr="H:\My Documents\Background Graphic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My Documents\Background Graphic cro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43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31739A90" wp14:editId="3AFD5D88">
          <wp:extent cx="1304925" cy="666750"/>
          <wp:effectExtent l="0" t="0" r="9525" b="0"/>
          <wp:docPr id="3" name="Picture 3" descr="C:\Users\Nicholas Brown\AppData\Local\Microsoft\Windows\Temporary Internet Files\Content.Word\ACTGov_inline_rev.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cholas Brown\AppData\Local\Microsoft\Windows\Temporary Internet Files\Content.Word\ACTGov_inline_rev.w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666750"/>
                  </a:xfrm>
                  <a:prstGeom prst="rect">
                    <a:avLst/>
                  </a:prstGeom>
                  <a:noFill/>
                  <a:ln>
                    <a:noFill/>
                  </a:ln>
                </pic:spPr>
              </pic:pic>
            </a:graphicData>
          </a:graphic>
        </wp:inline>
      </w:drawing>
    </w:r>
    <w:r w:rsidRPr="00222472">
      <w:rPr>
        <w:noProof/>
        <w:lang w:eastAsia="en-AU"/>
      </w:rPr>
      <mc:AlternateContent>
        <mc:Choice Requires="wps">
          <w:drawing>
            <wp:inline distT="0" distB="0" distL="0" distR="0" wp14:anchorId="24F9EE5E" wp14:editId="1C1068C8">
              <wp:extent cx="4286250" cy="7620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762000"/>
                      </a:xfrm>
                      <a:prstGeom prst="rect">
                        <a:avLst/>
                      </a:prstGeom>
                      <a:noFill/>
                      <a:ln w="9525">
                        <a:noFill/>
                        <a:miter lim="800000"/>
                        <a:headEnd/>
                        <a:tailEnd/>
                      </a:ln>
                    </wps:spPr>
                    <wps:txbx>
                      <w:txbxContent>
                        <w:p w14:paraId="011DD6A7" w14:textId="77777777" w:rsidR="00105161" w:rsidRPr="00E77D3E" w:rsidRDefault="00105161" w:rsidP="007C3780">
                          <w:pPr>
                            <w:pStyle w:val="Heading3"/>
                            <w:rPr>
                              <w:sz w:val="32"/>
                              <w:szCs w:val="32"/>
                            </w:rPr>
                          </w:pPr>
                          <w:r w:rsidRPr="00E77D3E">
                            <w:rPr>
                              <w:sz w:val="32"/>
                              <w:szCs w:val="32"/>
                            </w:rPr>
                            <w:t>TERRITORY RECORDS OFFICE</w:t>
                          </w:r>
                        </w:p>
                        <w:p w14:paraId="70C0754B" w14:textId="77777777" w:rsidR="00105161" w:rsidRPr="00E77D3E" w:rsidRDefault="00105161" w:rsidP="007C3780">
                          <w:pPr>
                            <w:pStyle w:val="AdviceHeading2"/>
                            <w:rPr>
                              <w:sz w:val="24"/>
                              <w:szCs w:val="24"/>
                            </w:rPr>
                          </w:pPr>
                          <w:r w:rsidRPr="00E77D3E">
                            <w:rPr>
                              <w:sz w:val="24"/>
                              <w:szCs w:val="24"/>
                            </w:rPr>
                            <w:t>RECORDS ADVICE</w:t>
                          </w:r>
                        </w:p>
                      </w:txbxContent>
                    </wps:txbx>
                    <wps:bodyPr rot="0" vert="horz" wrap="square" lIns="91440" tIns="45720" rIns="91440" bIns="45720" anchor="t" anchorCtr="0">
                      <a:noAutofit/>
                    </wps:bodyPr>
                  </wps:wsp>
                </a:graphicData>
              </a:graphic>
            </wp:inline>
          </w:drawing>
        </mc:Choice>
        <mc:Fallback>
          <w:pict>
            <v:shapetype w14:anchorId="24F9EE5E" id="_x0000_t202" coordsize="21600,21600" o:spt="202" path="m,l,21600r21600,l21600,xe">
              <v:stroke joinstyle="miter"/>
              <v:path gradientshapeok="t" o:connecttype="rect"/>
            </v:shapetype>
            <v:shape id="Text Box 2" o:spid="_x0000_s1026" type="#_x0000_t202" style="width:337.5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tBq9wEAAM0DAAAOAAAAZHJzL2Uyb0RvYy54bWysU8Fu2zAMvQ/YPwi6L06MJE2NOEXXrsOA&#10;rhvQ7QMYWY6FSaImKbGzrx8lp2mw3YZdBFIUH/keqfXNYDQ7SB8U2prPJlPOpBXYKLur+fdvD+9W&#10;nIUItgGNVtb8KAO/2bx9s+5dJUvsUDfSMwKxoepdzbsYXVUUQXTSQJigk5aCLXoDkVy/KxoPPaEb&#10;XZTT6bLo0TfOo5Ah0O39GOSbjN+2UsQvbRtkZLrm1FvMp8/nNp3FZg3VzoPrlDi1Af/QhQFlqegZ&#10;6h4isL1Xf0EZJTwGbONEoCmwbZWQmQOxmU3/YPPcgZOZC4kT3Fmm8P9gxdPh2X31LA7vcaABZhLB&#10;PaL4EZjFuw7sTt56j30noaHCsyRZ0btQnVKT1KEKCWTbf8aGhgz7iBloaL1JqhBPRug0gONZdDlE&#10;JuhyXq6W5YJCgmJXSxpqnkoB1Uu28yF+lGhYMmruaagZHQ6PIaZuoHp5kopZfFBa58Fqy/qaXy/K&#10;RU64iBgVae+0MjVfUcWxJlSJ5Afb5OQISo82FdD2xDoRHSnHYTvQw8R+i82R+Hsc94v+Axkd+l+c&#10;9bRbNQ8/9+AlZ/qTJQ2vZ/N5WsbszBdXJTn+MrK9jIAVBFXzyNlo3sW8wCPXW9K6VVmG105OvdLO&#10;ZHVO+52W8tLPr15/4eY3AAAA//8DAFBLAwQUAAYACAAAACEAJePU2NgAAAAFAQAADwAAAGRycy9k&#10;b3ducmV2LnhtbEyPQUvDQBCF74L/YZmCNztbsbWm2RRRvCpWLXjbZqdJaHY2ZLdN/PeOXupl4PEe&#10;732Tr0ffqhP1sQlsYDbVoIjL4BquDHy8P18vQcVk2dk2MBn4pgjr4vIit5kLA7/RaZMqJSUcM2ug&#10;TqnLEGNZk7dxGjpi8fah9zaJ7Ct0vR2k3Ld4o/UCvW1YFmrb0WNN5WFz9AY+X/Zf21v9Wj35eTeE&#10;USP7ezTmajI+rEAlGtM5DL/4gg6FMO3CkV1UrQF5JP1d8RZ3c5E7CckmYJHjf/riBwAA//8DAFBL&#10;AQItABQABgAIAAAAIQC2gziS/gAAAOEBAAATAAAAAAAAAAAAAAAAAAAAAABbQ29udGVudF9UeXBl&#10;c10ueG1sUEsBAi0AFAAGAAgAAAAhADj9If/WAAAAlAEAAAsAAAAAAAAAAAAAAAAALwEAAF9yZWxz&#10;Ly5yZWxzUEsBAi0AFAAGAAgAAAAhAHCu0Gr3AQAAzQMAAA4AAAAAAAAAAAAAAAAALgIAAGRycy9l&#10;Mm9Eb2MueG1sUEsBAi0AFAAGAAgAAAAhACXj1NjYAAAABQEAAA8AAAAAAAAAAAAAAAAAUQQAAGRy&#10;cy9kb3ducmV2LnhtbFBLBQYAAAAABAAEAPMAAABWBQAAAAA=&#10;" filled="f" stroked="f">
              <v:textbox>
                <w:txbxContent>
                  <w:p w14:paraId="011DD6A7" w14:textId="77777777" w:rsidR="00105161" w:rsidRPr="00E77D3E" w:rsidRDefault="00105161" w:rsidP="007C3780">
                    <w:pPr>
                      <w:pStyle w:val="Heading3"/>
                      <w:rPr>
                        <w:sz w:val="32"/>
                        <w:szCs w:val="32"/>
                      </w:rPr>
                    </w:pPr>
                    <w:r w:rsidRPr="00E77D3E">
                      <w:rPr>
                        <w:sz w:val="32"/>
                        <w:szCs w:val="32"/>
                      </w:rPr>
                      <w:t>TERRITORY RECORDS OFFICE</w:t>
                    </w:r>
                  </w:p>
                  <w:p w14:paraId="70C0754B" w14:textId="77777777" w:rsidR="00105161" w:rsidRPr="00E77D3E" w:rsidRDefault="00105161" w:rsidP="007C3780">
                    <w:pPr>
                      <w:pStyle w:val="AdviceHeading2"/>
                      <w:rPr>
                        <w:sz w:val="24"/>
                        <w:szCs w:val="24"/>
                      </w:rPr>
                    </w:pPr>
                    <w:r w:rsidRPr="00E77D3E">
                      <w:rPr>
                        <w:sz w:val="24"/>
                        <w:szCs w:val="24"/>
                      </w:rPr>
                      <w:t>RECORDS ADVICE</w:t>
                    </w:r>
                  </w:p>
                </w:txbxContent>
              </v:textbox>
              <w10:anchorlock/>
            </v:shape>
          </w:pict>
        </mc:Fallback>
      </mc:AlternateContent>
    </w:r>
    <w:r>
      <w:tab/>
    </w:r>
  </w:p>
  <w:p w14:paraId="27D10C79" w14:textId="77777777" w:rsidR="00105161" w:rsidRDefault="00105161" w:rsidP="007C3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5942"/>
    <w:multiLevelType w:val="hybridMultilevel"/>
    <w:tmpl w:val="1FF8F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162B57"/>
    <w:multiLevelType w:val="hybridMultilevel"/>
    <w:tmpl w:val="ED3C94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0363D"/>
    <w:multiLevelType w:val="hybridMultilevel"/>
    <w:tmpl w:val="E82434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23C5837"/>
    <w:multiLevelType w:val="hybridMultilevel"/>
    <w:tmpl w:val="D9B21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102F70"/>
    <w:multiLevelType w:val="hybridMultilevel"/>
    <w:tmpl w:val="11462FE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59944C8D"/>
    <w:multiLevelType w:val="hybridMultilevel"/>
    <w:tmpl w:val="48F417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73908094">
    <w:abstractNumId w:val="0"/>
  </w:num>
  <w:num w:numId="2" w16cid:durableId="84812615">
    <w:abstractNumId w:val="2"/>
  </w:num>
  <w:num w:numId="3" w16cid:durableId="1141382447">
    <w:abstractNumId w:val="1"/>
  </w:num>
  <w:num w:numId="4" w16cid:durableId="488985109">
    <w:abstractNumId w:val="4"/>
  </w:num>
  <w:num w:numId="5" w16cid:durableId="769275379">
    <w:abstractNumId w:val="3"/>
  </w:num>
  <w:num w:numId="6" w16cid:durableId="15689537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4F5"/>
    <w:rsid w:val="00063054"/>
    <w:rsid w:val="00086F2B"/>
    <w:rsid w:val="00105161"/>
    <w:rsid w:val="00222472"/>
    <w:rsid w:val="00554411"/>
    <w:rsid w:val="005A7AB5"/>
    <w:rsid w:val="006000F1"/>
    <w:rsid w:val="00713709"/>
    <w:rsid w:val="007B645D"/>
    <w:rsid w:val="007C3780"/>
    <w:rsid w:val="009E17B9"/>
    <w:rsid w:val="00CC54F5"/>
    <w:rsid w:val="00DA719A"/>
    <w:rsid w:val="00E77D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9030D"/>
  <w15:chartTrackingRefBased/>
  <w15:docId w15:val="{3B820905-EE8B-41D1-B558-366A1A24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4F5"/>
    <w:pPr>
      <w:autoSpaceDE w:val="0"/>
      <w:autoSpaceDN w:val="0"/>
      <w:adjustRightInd w:val="0"/>
      <w:spacing w:before="240" w:after="0" w:line="240" w:lineRule="auto"/>
    </w:pPr>
    <w:rPr>
      <w:rFonts w:ascii="Calibri" w:eastAsia="Times New Roman" w:hAnsi="Calibri" w:cs="Times New Roman"/>
      <w:sz w:val="24"/>
      <w:szCs w:val="24"/>
    </w:rPr>
  </w:style>
  <w:style w:type="paragraph" w:styleId="Heading1">
    <w:name w:val="heading 1"/>
    <w:basedOn w:val="Normal"/>
    <w:next w:val="Normal"/>
    <w:link w:val="Heading1Char"/>
    <w:uiPriority w:val="9"/>
    <w:qFormat/>
    <w:rsid w:val="007C3780"/>
    <w:pPr>
      <w:keepNext/>
      <w:keepLines/>
      <w:spacing w:before="160" w:after="120"/>
      <w:outlineLvl w:val="0"/>
    </w:pPr>
    <w:rPr>
      <w:rFonts w:asciiTheme="majorHAnsi" w:eastAsiaTheme="majorEastAsia" w:hAnsiTheme="majorHAnsi" w:cstheme="majorBidi"/>
      <w:b/>
      <w:szCs w:val="26"/>
    </w:rPr>
  </w:style>
  <w:style w:type="paragraph" w:styleId="Heading2">
    <w:name w:val="heading 2"/>
    <w:basedOn w:val="Normal"/>
    <w:next w:val="Normal"/>
    <w:link w:val="Heading2Char"/>
    <w:uiPriority w:val="9"/>
    <w:unhideWhenUsed/>
    <w:qFormat/>
    <w:rsid w:val="007C3780"/>
    <w:pPr>
      <w:keepNext/>
      <w:keepLines/>
      <w:spacing w:before="160" w:after="120"/>
      <w:outlineLvl w:val="1"/>
    </w:pPr>
    <w:rPr>
      <w:rFonts w:asciiTheme="minorHAnsi" w:eastAsiaTheme="majorEastAsia" w:hAnsiTheme="minorHAnsi" w:cstheme="majorBidi"/>
      <w:b/>
      <w:sz w:val="22"/>
      <w:szCs w:val="26"/>
    </w:rPr>
  </w:style>
  <w:style w:type="paragraph" w:styleId="Heading3">
    <w:name w:val="heading 3"/>
    <w:basedOn w:val="Normal"/>
    <w:next w:val="Normal"/>
    <w:link w:val="Heading3Char"/>
    <w:uiPriority w:val="9"/>
    <w:unhideWhenUsed/>
    <w:qFormat/>
    <w:rsid w:val="007C3780"/>
    <w:pPr>
      <w:spacing w:line="216" w:lineRule="auto"/>
      <w:ind w:left="142" w:right="-505"/>
      <w:jc w:val="center"/>
      <w:outlineLvl w:val="2"/>
    </w:pPr>
    <w:rPr>
      <w:rFonts w:ascii="Montserrat" w:hAnsi="Montserrat" w:cs="Arial"/>
      <w:color w:val="FFFFFF" w:themeColor="background1"/>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472"/>
    <w:pPr>
      <w:tabs>
        <w:tab w:val="center" w:pos="4513"/>
        <w:tab w:val="right" w:pos="9026"/>
      </w:tabs>
    </w:pPr>
  </w:style>
  <w:style w:type="character" w:customStyle="1" w:styleId="HeaderChar">
    <w:name w:val="Header Char"/>
    <w:basedOn w:val="DefaultParagraphFont"/>
    <w:link w:val="Header"/>
    <w:uiPriority w:val="99"/>
    <w:rsid w:val="00222472"/>
  </w:style>
  <w:style w:type="paragraph" w:styleId="Footer">
    <w:name w:val="footer"/>
    <w:basedOn w:val="Normal"/>
    <w:link w:val="FooterChar"/>
    <w:uiPriority w:val="99"/>
    <w:unhideWhenUsed/>
    <w:rsid w:val="00222472"/>
    <w:pPr>
      <w:tabs>
        <w:tab w:val="center" w:pos="4513"/>
        <w:tab w:val="right" w:pos="9026"/>
      </w:tabs>
    </w:pPr>
  </w:style>
  <w:style w:type="character" w:customStyle="1" w:styleId="FooterChar">
    <w:name w:val="Footer Char"/>
    <w:basedOn w:val="DefaultParagraphFont"/>
    <w:link w:val="Footer"/>
    <w:uiPriority w:val="99"/>
    <w:rsid w:val="00222472"/>
  </w:style>
  <w:style w:type="paragraph" w:customStyle="1" w:styleId="Default">
    <w:name w:val="Default"/>
    <w:rsid w:val="0006305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AdviceHeading1">
    <w:name w:val="Advice Heading 1"/>
    <w:basedOn w:val="Heading1"/>
    <w:rsid w:val="00063054"/>
    <w:pPr>
      <w:keepLines w:val="0"/>
      <w:spacing w:after="60"/>
    </w:pPr>
    <w:rPr>
      <w:rFonts w:ascii="Arial" w:eastAsia="Times New Roman" w:hAnsi="Arial" w:cs="Times New Roman"/>
      <w:b w:val="0"/>
      <w:bCs/>
      <w:kern w:val="32"/>
      <w:szCs w:val="20"/>
    </w:rPr>
  </w:style>
  <w:style w:type="paragraph" w:customStyle="1" w:styleId="AdviceHeading2">
    <w:name w:val="Advice Heading 2"/>
    <w:basedOn w:val="Normal"/>
    <w:qFormat/>
    <w:rsid w:val="007C3780"/>
    <w:pPr>
      <w:spacing w:line="216" w:lineRule="auto"/>
      <w:ind w:left="142" w:right="-505"/>
      <w:jc w:val="center"/>
    </w:pPr>
    <w:rPr>
      <w:rFonts w:ascii="Montserrat" w:hAnsi="Montserrat" w:cs="Arial"/>
      <w:color w:val="FFFFFF" w:themeColor="background1"/>
      <w:sz w:val="36"/>
      <w:szCs w:val="36"/>
    </w:rPr>
  </w:style>
  <w:style w:type="paragraph" w:styleId="ListParagraph">
    <w:name w:val="List Paragraph"/>
    <w:basedOn w:val="Normal"/>
    <w:uiPriority w:val="34"/>
    <w:qFormat/>
    <w:rsid w:val="00063054"/>
    <w:pPr>
      <w:ind w:left="720"/>
      <w:contextualSpacing/>
    </w:pPr>
  </w:style>
  <w:style w:type="character" w:customStyle="1" w:styleId="Heading1Char">
    <w:name w:val="Heading 1 Char"/>
    <w:basedOn w:val="DefaultParagraphFont"/>
    <w:link w:val="Heading1"/>
    <w:uiPriority w:val="9"/>
    <w:rsid w:val="007C3780"/>
    <w:rPr>
      <w:rFonts w:asciiTheme="majorHAnsi" w:eastAsiaTheme="majorEastAsia" w:hAnsiTheme="majorHAnsi" w:cstheme="majorBidi"/>
      <w:b/>
      <w:sz w:val="24"/>
      <w:szCs w:val="26"/>
    </w:rPr>
  </w:style>
  <w:style w:type="character" w:customStyle="1" w:styleId="Heading2Char">
    <w:name w:val="Heading 2 Char"/>
    <w:basedOn w:val="DefaultParagraphFont"/>
    <w:link w:val="Heading2"/>
    <w:uiPriority w:val="9"/>
    <w:rsid w:val="007C3780"/>
    <w:rPr>
      <w:rFonts w:eastAsiaTheme="majorEastAsia" w:cstheme="majorBidi"/>
      <w:b/>
      <w:szCs w:val="26"/>
    </w:rPr>
  </w:style>
  <w:style w:type="paragraph" w:styleId="BalloonText">
    <w:name w:val="Balloon Text"/>
    <w:basedOn w:val="Normal"/>
    <w:link w:val="BalloonTextChar"/>
    <w:uiPriority w:val="99"/>
    <w:semiHidden/>
    <w:unhideWhenUsed/>
    <w:rsid w:val="00063054"/>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054"/>
    <w:rPr>
      <w:rFonts w:ascii="Segoe UI" w:eastAsia="Times New Roman" w:hAnsi="Segoe UI" w:cs="Segoe UI"/>
      <w:sz w:val="18"/>
      <w:szCs w:val="18"/>
    </w:rPr>
  </w:style>
  <w:style w:type="paragraph" w:styleId="Title">
    <w:name w:val="Title"/>
    <w:basedOn w:val="Normal"/>
    <w:next w:val="Normal"/>
    <w:link w:val="TitleChar"/>
    <w:uiPriority w:val="10"/>
    <w:qFormat/>
    <w:rsid w:val="007C3780"/>
    <w:pPr>
      <w:keepNext/>
      <w:keepLines/>
      <w:spacing w:before="160" w:after="120"/>
      <w:outlineLvl w:val="0"/>
    </w:pPr>
    <w:rPr>
      <w:rFonts w:asciiTheme="majorHAnsi" w:eastAsiaTheme="majorEastAsia" w:hAnsiTheme="majorHAnsi" w:cstheme="majorBidi"/>
      <w:b/>
      <w:sz w:val="36"/>
      <w:szCs w:val="36"/>
    </w:rPr>
  </w:style>
  <w:style w:type="character" w:customStyle="1" w:styleId="TitleChar">
    <w:name w:val="Title Char"/>
    <w:basedOn w:val="DefaultParagraphFont"/>
    <w:link w:val="Title"/>
    <w:uiPriority w:val="10"/>
    <w:rsid w:val="007C3780"/>
    <w:rPr>
      <w:rFonts w:asciiTheme="majorHAnsi" w:eastAsiaTheme="majorEastAsia" w:hAnsiTheme="majorHAnsi" w:cstheme="majorBidi"/>
      <w:b/>
      <w:sz w:val="36"/>
      <w:szCs w:val="36"/>
    </w:rPr>
  </w:style>
  <w:style w:type="character" w:customStyle="1" w:styleId="Heading3Char">
    <w:name w:val="Heading 3 Char"/>
    <w:basedOn w:val="DefaultParagraphFont"/>
    <w:link w:val="Heading3"/>
    <w:uiPriority w:val="9"/>
    <w:rsid w:val="007C3780"/>
    <w:rPr>
      <w:rFonts w:ascii="Montserrat" w:eastAsia="Times New Roman" w:hAnsi="Montserrat" w:cs="Arial"/>
      <w:color w:val="FFFFFF" w:themeColor="background1"/>
      <w:sz w:val="16"/>
      <w:szCs w:val="16"/>
    </w:rPr>
  </w:style>
  <w:style w:type="character" w:styleId="Hyperlink">
    <w:name w:val="Hyperlink"/>
    <w:basedOn w:val="DefaultParagraphFont"/>
    <w:uiPriority w:val="99"/>
    <w:unhideWhenUsed/>
    <w:rsid w:val="00CC54F5"/>
    <w:rPr>
      <w:color w:val="0563C1"/>
      <w:u w:val="single"/>
    </w:rPr>
  </w:style>
  <w:style w:type="character" w:customStyle="1" w:styleId="normaltextrun">
    <w:name w:val="normaltextrun"/>
    <w:basedOn w:val="DefaultParagraphFont"/>
    <w:rsid w:val="00CC54F5"/>
  </w:style>
  <w:style w:type="character" w:customStyle="1" w:styleId="eop">
    <w:name w:val="eop"/>
    <w:basedOn w:val="DefaultParagraphFont"/>
    <w:rsid w:val="00CC54F5"/>
  </w:style>
  <w:style w:type="paragraph" w:styleId="PlainText">
    <w:name w:val="Plain Text"/>
    <w:basedOn w:val="Normal"/>
    <w:link w:val="PlainTextChar"/>
    <w:uiPriority w:val="99"/>
    <w:unhideWhenUsed/>
    <w:rsid w:val="00CC54F5"/>
    <w:pPr>
      <w:autoSpaceDE/>
      <w:autoSpaceDN/>
      <w:adjustRightInd/>
      <w:spacing w:before="0"/>
    </w:pPr>
    <w:rPr>
      <w:rFonts w:cstheme="minorBidi"/>
      <w:kern w:val="2"/>
      <w:sz w:val="22"/>
      <w:szCs w:val="21"/>
      <w14:ligatures w14:val="standardContextual"/>
    </w:rPr>
  </w:style>
  <w:style w:type="character" w:customStyle="1" w:styleId="PlainTextChar">
    <w:name w:val="Plain Text Char"/>
    <w:basedOn w:val="DefaultParagraphFont"/>
    <w:link w:val="PlainText"/>
    <w:uiPriority w:val="99"/>
    <w:rsid w:val="00CC54F5"/>
    <w:rPr>
      <w:rFonts w:ascii="Calibri" w:eastAsia="Times New Roman" w:hAnsi="Calibri"/>
      <w:kern w:val="2"/>
      <w:szCs w:val="21"/>
      <w14:ligatures w14:val="standardContextual"/>
    </w:rPr>
  </w:style>
  <w:style w:type="character" w:customStyle="1" w:styleId="cf01">
    <w:name w:val="cf01"/>
    <w:basedOn w:val="DefaultParagraphFont"/>
    <w:rsid w:val="00CC54F5"/>
    <w:rPr>
      <w:rFonts w:ascii="Segoe UI" w:hAnsi="Segoe UI" w:cs="Segoe UI" w:hint="default"/>
      <w:i/>
      <w:iCs/>
      <w:sz w:val="18"/>
      <w:szCs w:val="18"/>
    </w:rPr>
  </w:style>
  <w:style w:type="paragraph" w:styleId="BodyText">
    <w:name w:val="Body Text"/>
    <w:basedOn w:val="Normal"/>
    <w:link w:val="BodyTextChar"/>
    <w:uiPriority w:val="99"/>
    <w:unhideWhenUsed/>
    <w:rsid w:val="00E77D3E"/>
    <w:pPr>
      <w:autoSpaceDE/>
      <w:autoSpaceDN/>
      <w:adjustRightInd/>
      <w:spacing w:before="200" w:after="120" w:line="280" w:lineRule="exact"/>
    </w:pPr>
    <w:rPr>
      <w:rFonts w:eastAsiaTheme="minorHAnsi" w:cs="Calibri"/>
      <w:color w:val="000000"/>
      <w:sz w:val="22"/>
      <w:szCs w:val="22"/>
      <w:lang w:eastAsia="en-AU"/>
    </w:rPr>
  </w:style>
  <w:style w:type="character" w:customStyle="1" w:styleId="BodyTextChar">
    <w:name w:val="Body Text Char"/>
    <w:basedOn w:val="DefaultParagraphFont"/>
    <w:link w:val="BodyText"/>
    <w:uiPriority w:val="99"/>
    <w:rsid w:val="00E77D3E"/>
    <w:rPr>
      <w:rFonts w:ascii="Calibri" w:hAnsi="Calibri" w:cs="Calibri"/>
      <w:color w:val="00000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rritoryrecords.act.gov.au/standards/Capability-Guideline" TargetMode="External"/><Relationship Id="rId13" Type="http://schemas.openxmlformats.org/officeDocument/2006/relationships/hyperlink" Target="http://www.territoryrecords.act.gov.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reativecommons.org/licenses/by/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erritoryrecords.act.gov.au/standards/standard-for-records,-information-and-data" TargetMode="External"/><Relationship Id="rId14" Type="http://schemas.openxmlformats.org/officeDocument/2006/relationships/hyperlink" Target="mailto:TRO@act.gov.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NAS125S1.act.gov.au\CMHome01\Nic%20Brown\My%20Documents\2023%20advice\TRO%20Advice%20Template%20first%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FE90E-9D59-4A7C-A7F3-571CC1252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TRO Advice Template first page.dotx</Template>
  <TotalTime>8</TotalTime>
  <Pages>4</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Nic</dc:creator>
  <cp:keywords/>
  <dc:description/>
  <cp:lastModifiedBy>Brown, Nic</cp:lastModifiedBy>
  <cp:revision>4</cp:revision>
  <cp:lastPrinted>2018-04-19T03:53:00Z</cp:lastPrinted>
  <dcterms:created xsi:type="dcterms:W3CDTF">2023-12-18T03:45:00Z</dcterms:created>
  <dcterms:modified xsi:type="dcterms:W3CDTF">2024-01-12T07:18:00Z</dcterms:modified>
</cp:coreProperties>
</file>