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10D6" w14:textId="77777777" w:rsidR="00445B96" w:rsidRDefault="00445B96" w:rsidP="00445B96">
      <w:pPr>
        <w:spacing w:after="0" w:line="240" w:lineRule="auto"/>
      </w:pPr>
      <w:bookmarkStart w:id="0" w:name="_GoBack"/>
      <w:bookmarkEnd w:id="0"/>
    </w:p>
    <w:p w14:paraId="3E2D8F60" w14:textId="77777777" w:rsidR="00445B96" w:rsidRDefault="00445B96" w:rsidP="00460AB3">
      <w:pPr>
        <w:pStyle w:val="Title"/>
      </w:pPr>
      <w:r w:rsidRPr="007B60B3">
        <w:t>Decommissioning business systems</w:t>
      </w:r>
    </w:p>
    <w:p w14:paraId="74E2211A" w14:textId="77777777" w:rsidR="00445B96" w:rsidRDefault="00445B96" w:rsidP="00445B96">
      <w:pPr>
        <w:spacing w:after="0" w:line="240" w:lineRule="auto"/>
      </w:pPr>
    </w:p>
    <w:p w14:paraId="0BCF2295" w14:textId="1474685F" w:rsidR="00187319" w:rsidRDefault="00445B96" w:rsidP="00445B96">
      <w:pPr>
        <w:spacing w:after="0" w:line="240" w:lineRule="auto"/>
      </w:pPr>
      <w:r w:rsidRPr="009976D3">
        <w:t xml:space="preserve">Many </w:t>
      </w:r>
      <w:r>
        <w:t>business units</w:t>
      </w:r>
      <w:r w:rsidRPr="009976D3">
        <w:t xml:space="preserve"> have accumulated large amounts of data in legacy systems. Many of these systems were not designed with a long term view of the value of the data they generate and contain. </w:t>
      </w:r>
      <w:r w:rsidR="00187319">
        <w:t>These systems may contain</w:t>
      </w:r>
      <w:r w:rsidRPr="009976D3">
        <w:t xml:space="preserve"> high value records and information, </w:t>
      </w:r>
      <w:r w:rsidR="00187319">
        <w:t xml:space="preserve">or </w:t>
      </w:r>
      <w:r w:rsidRPr="009976D3">
        <w:t>data that is trivial, d</w:t>
      </w:r>
      <w:r>
        <w:t>uplicated or no longer required</w:t>
      </w:r>
      <w:r w:rsidRPr="009976D3">
        <w:t xml:space="preserve">. </w:t>
      </w:r>
      <w:r w:rsidR="00187319">
        <w:t>B</w:t>
      </w:r>
      <w:r w:rsidRPr="009976D3">
        <w:t xml:space="preserve">ecause they often rely on niche expertise and technologies for ongoing maintenance, </w:t>
      </w:r>
      <w:r>
        <w:t>often from a single vendor, long term storage of records</w:t>
      </w:r>
      <w:r w:rsidR="00A710C5">
        <w:t xml:space="preserve"> in legacy systems</w:t>
      </w:r>
      <w:r>
        <w:t xml:space="preserve"> may pose significant cost and risk</w:t>
      </w:r>
      <w:r w:rsidRPr="009976D3">
        <w:t xml:space="preserve">. </w:t>
      </w:r>
    </w:p>
    <w:p w14:paraId="3C15ECCA" w14:textId="77777777" w:rsidR="00187319" w:rsidRDefault="00187319" w:rsidP="00445B96">
      <w:pPr>
        <w:spacing w:after="0" w:line="240" w:lineRule="auto"/>
      </w:pPr>
    </w:p>
    <w:p w14:paraId="3895EA82" w14:textId="05197821" w:rsidR="00445B96" w:rsidRPr="009976D3" w:rsidRDefault="00445B96" w:rsidP="00445B96">
      <w:pPr>
        <w:spacing w:after="0" w:line="240" w:lineRule="auto"/>
      </w:pPr>
      <w:r w:rsidRPr="009976D3">
        <w:t>All business systems will eventually become legacy systems due to changing technology and business environments. Ideally, decommissioning planning will form a part of system design and implementation.</w:t>
      </w:r>
      <w:r w:rsidR="00187319">
        <w:t xml:space="preserve"> </w:t>
      </w:r>
      <w:r w:rsidRPr="009976D3">
        <w:t xml:space="preserve">There </w:t>
      </w:r>
      <w:r w:rsidR="00187319">
        <w:t>is</w:t>
      </w:r>
      <w:r w:rsidR="00187319" w:rsidRPr="009976D3">
        <w:t xml:space="preserve"> </w:t>
      </w:r>
      <w:r w:rsidRPr="009976D3">
        <w:t xml:space="preserve">a number of workflows and methodologies </w:t>
      </w:r>
      <w:r w:rsidR="00187319">
        <w:t>available</w:t>
      </w:r>
      <w:r w:rsidR="00187319" w:rsidRPr="009976D3">
        <w:t xml:space="preserve"> </w:t>
      </w:r>
      <w:r w:rsidRPr="009976D3">
        <w:t>to assist organisations in decommissioning legacy business systems. Many of these approaches have originated in the IT domain, and are primarily concerned with data integrity and security rather than meeting recordkeeping requirements. Records management provides a useful process for assessing the value of records in business systems and determining the best strategy for managing them.</w:t>
      </w:r>
    </w:p>
    <w:p w14:paraId="6A524109" w14:textId="77777777" w:rsidR="00445B96" w:rsidRPr="00002E94" w:rsidRDefault="00445B96" w:rsidP="0084122B">
      <w:pPr>
        <w:pStyle w:val="Heading1"/>
      </w:pPr>
      <w:r w:rsidRPr="00002E94">
        <w:t xml:space="preserve">Considerations </w:t>
      </w:r>
      <w:r>
        <w:t>when</w:t>
      </w:r>
      <w:r w:rsidRPr="00002E94">
        <w:t xml:space="preserve"> decommissioning systems</w:t>
      </w:r>
    </w:p>
    <w:p w14:paraId="7095DEDE" w14:textId="77777777" w:rsidR="00445B96" w:rsidRPr="00E41C94" w:rsidRDefault="00445B96" w:rsidP="00E41C94">
      <w:pPr>
        <w:pStyle w:val="Heading2"/>
      </w:pPr>
      <w:r w:rsidRPr="00E41C94">
        <w:t>Identify existing system environment</w:t>
      </w:r>
    </w:p>
    <w:p w14:paraId="4093DA5E" w14:textId="678E1987" w:rsidR="00445B96" w:rsidRPr="009976D3" w:rsidRDefault="00445B96" w:rsidP="00445B96">
      <w:pPr>
        <w:spacing w:after="0" w:line="240" w:lineRule="auto"/>
      </w:pPr>
      <w:r w:rsidRPr="009976D3">
        <w:t>Any decommissioning project should start with an investigation of the system to understand what records are held in the business system and how long they need to be retained. Along with assessing the business processes and action</w:t>
      </w:r>
      <w:r>
        <w:t>s</w:t>
      </w:r>
      <w:r w:rsidRPr="009976D3">
        <w:t xml:space="preserve"> th</w:t>
      </w:r>
      <w:r>
        <w:t xml:space="preserve">at a system is supporting, an </w:t>
      </w:r>
      <w:r w:rsidRPr="009976D3">
        <w:t>unde</w:t>
      </w:r>
      <w:r>
        <w:t>rstanding</w:t>
      </w:r>
      <w:r w:rsidRPr="009976D3">
        <w:t xml:space="preserve"> </w:t>
      </w:r>
      <w:r w:rsidR="00187319">
        <w:t xml:space="preserve">of </w:t>
      </w:r>
      <w:r w:rsidRPr="009976D3">
        <w:t>t</w:t>
      </w:r>
      <w:r>
        <w:t>he structure of</w:t>
      </w:r>
      <w:r w:rsidRPr="009976D3">
        <w:t xml:space="preserve"> </w:t>
      </w:r>
      <w:r w:rsidR="00187319">
        <w:t xml:space="preserve">the </w:t>
      </w:r>
      <w:r w:rsidRPr="009976D3">
        <w:t>records</w:t>
      </w:r>
      <w:r>
        <w:t xml:space="preserve"> and metadata</w:t>
      </w:r>
      <w:r w:rsidRPr="009976D3">
        <w:t xml:space="preserve"> should be sought. Research during this phase may involve discussion with relevant business managers</w:t>
      </w:r>
      <w:r w:rsidR="00187319">
        <w:t xml:space="preserve">, </w:t>
      </w:r>
      <w:r w:rsidRPr="009976D3">
        <w:t xml:space="preserve">systems administrators, </w:t>
      </w:r>
      <w:r w:rsidR="00187319">
        <w:t xml:space="preserve">and end users, or </w:t>
      </w:r>
      <w:r w:rsidRPr="009976D3">
        <w:t>demonstrations of the software. A useful source of information may be the systems architecture register.</w:t>
      </w:r>
    </w:p>
    <w:p w14:paraId="032D1B66" w14:textId="77777777" w:rsidR="00445B96" w:rsidRDefault="00445B96" w:rsidP="00445B96">
      <w:pPr>
        <w:spacing w:after="0" w:line="240" w:lineRule="auto"/>
      </w:pPr>
    </w:p>
    <w:p w14:paraId="7480C3F6" w14:textId="7662BD50" w:rsidR="00445B96" w:rsidRPr="009976D3" w:rsidRDefault="001F1F60" w:rsidP="00445B96">
      <w:pPr>
        <w:spacing w:after="0" w:line="240" w:lineRule="auto"/>
      </w:pPr>
      <w:r w:rsidRPr="001F1F60">
        <w:t>The structure of records in a business system can be complex, and may include any of the following</w:t>
      </w:r>
      <w:r w:rsidR="00445B96" w:rsidRPr="009976D3">
        <w:t xml:space="preserve">: </w:t>
      </w:r>
    </w:p>
    <w:p w14:paraId="0AEA9F25"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 xml:space="preserve">Tables in a database </w:t>
      </w:r>
    </w:p>
    <w:p w14:paraId="65E812B3"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Individual database records (field information)</w:t>
      </w:r>
    </w:p>
    <w:p w14:paraId="13224914"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Entire database</w:t>
      </w:r>
    </w:p>
    <w:p w14:paraId="255A34E5"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Reports generated by the application</w:t>
      </w:r>
    </w:p>
    <w:p w14:paraId="10AC0A9D"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Linked documents/data in other systems</w:t>
      </w:r>
    </w:p>
    <w:p w14:paraId="331FDF36" w14:textId="77777777" w:rsidR="00445B96" w:rsidRPr="009976D3" w:rsidRDefault="00445B96" w:rsidP="00445B96">
      <w:pPr>
        <w:pStyle w:val="ListParagraph"/>
        <w:numPr>
          <w:ilvl w:val="0"/>
          <w:numId w:val="3"/>
        </w:numPr>
        <w:spacing w:before="120" w:after="0" w:line="240" w:lineRule="auto"/>
        <w:ind w:left="714" w:hanging="357"/>
        <w:contextualSpacing w:val="0"/>
      </w:pPr>
      <w:r w:rsidRPr="009976D3">
        <w:t>User account information and permissions</w:t>
      </w:r>
    </w:p>
    <w:p w14:paraId="68C2DA9B" w14:textId="77777777" w:rsidR="00445B96" w:rsidRDefault="00445B96" w:rsidP="00445B96">
      <w:pPr>
        <w:pStyle w:val="ListParagraph"/>
        <w:numPr>
          <w:ilvl w:val="0"/>
          <w:numId w:val="3"/>
        </w:numPr>
        <w:spacing w:before="120" w:after="0" w:line="240" w:lineRule="auto"/>
        <w:ind w:left="714" w:hanging="357"/>
        <w:contextualSpacing w:val="0"/>
      </w:pPr>
      <w:r w:rsidRPr="009976D3">
        <w:t>Audit logs</w:t>
      </w:r>
    </w:p>
    <w:p w14:paraId="16494ACC" w14:textId="77777777" w:rsidR="00445B96" w:rsidRDefault="00445B96" w:rsidP="00445B96">
      <w:pPr>
        <w:pStyle w:val="ListParagraph"/>
        <w:numPr>
          <w:ilvl w:val="0"/>
          <w:numId w:val="3"/>
        </w:numPr>
        <w:spacing w:before="120" w:after="0" w:line="240" w:lineRule="auto"/>
        <w:ind w:left="714" w:hanging="357"/>
        <w:contextualSpacing w:val="0"/>
      </w:pPr>
      <w:r w:rsidRPr="009976D3">
        <w:t>Dependencies/links with other systems</w:t>
      </w:r>
    </w:p>
    <w:p w14:paraId="378E53EF" w14:textId="5E99EB7F" w:rsidR="00445B96" w:rsidRPr="00E41C94" w:rsidRDefault="00445B96" w:rsidP="00E41C94">
      <w:pPr>
        <w:pStyle w:val="Heading2"/>
      </w:pPr>
      <w:r w:rsidRPr="00E41C94">
        <w:t>Appraisal</w:t>
      </w:r>
    </w:p>
    <w:p w14:paraId="6A36B6E9" w14:textId="3F849A01" w:rsidR="00445B96" w:rsidRDefault="00445B96" w:rsidP="00445B96">
      <w:pPr>
        <w:spacing w:after="0" w:line="240" w:lineRule="auto"/>
      </w:pPr>
      <w:r w:rsidRPr="009976D3">
        <w:t xml:space="preserve">Once the nature of the records in the business system is adequately understood, an appraisal process to determine the recordkeeping requirements is likely necessary. Many business systems were commissioned to fulfil specific information processing needs, and ongoing recordkeeping </w:t>
      </w:r>
      <w:r w:rsidRPr="009976D3">
        <w:lastRenderedPageBreak/>
        <w:t>requirements may not have been taken into consideration. Along with establishing required retention periods, consideration of</w:t>
      </w:r>
      <w:r>
        <w:t xml:space="preserve"> other</w:t>
      </w:r>
      <w:r w:rsidRPr="009976D3">
        <w:t xml:space="preserve"> legislative requirements </w:t>
      </w:r>
      <w:r>
        <w:t>(</w:t>
      </w:r>
      <w:proofErr w:type="spellStart"/>
      <w:r w:rsidR="00187319">
        <w:t>eg</w:t>
      </w:r>
      <w:proofErr w:type="spellEnd"/>
      <w:r>
        <w:t xml:space="preserve"> the </w:t>
      </w:r>
      <w:r w:rsidRPr="00475294">
        <w:rPr>
          <w:i/>
        </w:rPr>
        <w:t>Information Privacy Act 2014</w:t>
      </w:r>
      <w:r>
        <w:t xml:space="preserve">) </w:t>
      </w:r>
      <w:r w:rsidRPr="009976D3">
        <w:t>or applicable data standards may be necessary</w:t>
      </w:r>
      <w:r w:rsidR="001F1F60">
        <w:t xml:space="preserve">. </w:t>
      </w:r>
    </w:p>
    <w:p w14:paraId="50140699" w14:textId="77777777" w:rsidR="00445B96" w:rsidRDefault="00445B96" w:rsidP="00445B96">
      <w:pPr>
        <w:spacing w:after="0" w:line="240" w:lineRule="auto"/>
      </w:pPr>
    </w:p>
    <w:p w14:paraId="2B4E0263" w14:textId="062F76FE" w:rsidR="00445B96" w:rsidRPr="009976D3" w:rsidRDefault="00445B96" w:rsidP="00445B96">
      <w:pPr>
        <w:spacing w:after="0" w:line="240" w:lineRule="auto"/>
      </w:pPr>
      <w:r>
        <w:t>Business</w:t>
      </w:r>
      <w:r w:rsidRPr="009976D3">
        <w:t xml:space="preserve"> systems </w:t>
      </w:r>
      <w:r>
        <w:t xml:space="preserve">and their databases </w:t>
      </w:r>
      <w:r w:rsidRPr="009976D3">
        <w:t>can be complex, and may contain multiple record types</w:t>
      </w:r>
      <w:r>
        <w:t xml:space="preserve"> in aggregate form</w:t>
      </w:r>
      <w:r w:rsidR="00187319">
        <w:t>,</w:t>
      </w:r>
      <w:r>
        <w:t xml:space="preserve"> </w:t>
      </w:r>
      <w:r w:rsidR="00187319">
        <w:t>such as</w:t>
      </w:r>
      <w:r w:rsidRPr="009976D3">
        <w:t xml:space="preserve"> routine records of financial transactions</w:t>
      </w:r>
      <w:r>
        <w:t>, alongside more permanent registers</w:t>
      </w:r>
      <w:r w:rsidRPr="009976D3">
        <w:t xml:space="preserve">. </w:t>
      </w:r>
    </w:p>
    <w:p w14:paraId="6ABE4B88" w14:textId="65F49396" w:rsidR="00445B96" w:rsidRPr="00027C11" w:rsidRDefault="00187319" w:rsidP="00E41C94">
      <w:pPr>
        <w:pStyle w:val="Heading2"/>
      </w:pPr>
      <w:r>
        <w:t>Applying retention requirements</w:t>
      </w:r>
    </w:p>
    <w:p w14:paraId="216489C2" w14:textId="77777777" w:rsidR="00445B96" w:rsidRPr="009976D3" w:rsidRDefault="00445B96" w:rsidP="00445B96">
      <w:pPr>
        <w:spacing w:after="0" w:line="240" w:lineRule="auto"/>
      </w:pPr>
      <w:r w:rsidRPr="009976D3">
        <w:t>Data may be in discrete tables and able to be managed separately, or may be in more complex aggregate structures that will have to be managed in accordance with the longest retention requirement.</w:t>
      </w:r>
    </w:p>
    <w:p w14:paraId="290599CA" w14:textId="77777777" w:rsidR="00445B96" w:rsidRDefault="00445B96" w:rsidP="00445B96">
      <w:pPr>
        <w:spacing w:after="0" w:line="240" w:lineRule="auto"/>
      </w:pPr>
    </w:p>
    <w:p w14:paraId="56E9AAB4" w14:textId="77777777" w:rsidR="00445B96" w:rsidRPr="009976D3" w:rsidRDefault="00445B96" w:rsidP="00445B96">
      <w:pPr>
        <w:spacing w:after="0" w:line="240" w:lineRule="auto"/>
      </w:pPr>
      <w:r w:rsidRPr="009976D3">
        <w:t>A suggested approach would be to document record types, making note of recordkeeping requirements and retention periods, along with a precis overview of the data structure. This information will inform the approach to decommissioning the system, based on business need and budget.</w:t>
      </w:r>
    </w:p>
    <w:p w14:paraId="5D46B0CD" w14:textId="77777777" w:rsidR="00445B96" w:rsidRDefault="00445B96" w:rsidP="00E41C94">
      <w:pPr>
        <w:pStyle w:val="Heading2"/>
      </w:pPr>
      <w:r w:rsidRPr="00027C11">
        <w:t>Strategies</w:t>
      </w:r>
    </w:p>
    <w:p w14:paraId="7BF99A83" w14:textId="77777777" w:rsidR="00445B96" w:rsidRPr="009976D3" w:rsidRDefault="00445B96" w:rsidP="00445B96">
      <w:pPr>
        <w:spacing w:after="0" w:line="240" w:lineRule="auto"/>
      </w:pPr>
      <w:r w:rsidRPr="009976D3">
        <w:t xml:space="preserve">While no means an exhaustive list, decommissioning methodologies will likely fall into </w:t>
      </w:r>
      <w:r>
        <w:t>three</w:t>
      </w:r>
      <w:r w:rsidRPr="009976D3">
        <w:t xml:space="preserve"> broad categories.</w:t>
      </w:r>
    </w:p>
    <w:p w14:paraId="31A97EF7" w14:textId="11F5B4F6" w:rsidR="00445B96" w:rsidRPr="00166CFC" w:rsidRDefault="00445B96" w:rsidP="00F42F08">
      <w:pPr>
        <w:pStyle w:val="ListParagraph"/>
        <w:numPr>
          <w:ilvl w:val="0"/>
          <w:numId w:val="4"/>
        </w:numPr>
        <w:spacing w:before="120" w:after="120" w:line="240" w:lineRule="auto"/>
      </w:pPr>
      <w:r w:rsidRPr="00166CFC">
        <w:t>Migration</w:t>
      </w:r>
    </w:p>
    <w:p w14:paraId="4E788872" w14:textId="72CECCDD" w:rsidR="00445B96" w:rsidRPr="009976D3" w:rsidRDefault="00187319" w:rsidP="00445B96">
      <w:pPr>
        <w:spacing w:after="0" w:line="240" w:lineRule="auto"/>
        <w:ind w:left="426"/>
      </w:pPr>
      <w:r>
        <w:t>T</w:t>
      </w:r>
      <w:r w:rsidR="00445B96" w:rsidRPr="009976D3">
        <w:t xml:space="preserve">o meet ongoing business needs, including retention and access requirements, records </w:t>
      </w:r>
      <w:r w:rsidR="00102625">
        <w:t>may</w:t>
      </w:r>
      <w:r w:rsidR="00102625" w:rsidRPr="009976D3">
        <w:t xml:space="preserve"> </w:t>
      </w:r>
      <w:r w:rsidR="00445B96" w:rsidRPr="009976D3">
        <w:t>be migrated to a new business system before the old system is decommissioned. There may be direct vendor support of this process if the new system is an upgrade. Migration to third party systems may also involve the translation and mapping of data to the new system.</w:t>
      </w:r>
    </w:p>
    <w:p w14:paraId="01175888" w14:textId="4AE4F548" w:rsidR="00445B96" w:rsidRPr="00166CFC" w:rsidRDefault="00445B96" w:rsidP="00F42F08">
      <w:pPr>
        <w:pStyle w:val="ListParagraph"/>
        <w:numPr>
          <w:ilvl w:val="0"/>
          <w:numId w:val="4"/>
        </w:numPr>
        <w:spacing w:before="120" w:after="120" w:line="240" w:lineRule="auto"/>
      </w:pPr>
      <w:r w:rsidRPr="00166CFC">
        <w:t>Archiving</w:t>
      </w:r>
    </w:p>
    <w:p w14:paraId="77AC0815" w14:textId="76F62BFE" w:rsidR="00445B96" w:rsidRPr="009976D3" w:rsidRDefault="00445B96" w:rsidP="00445B96">
      <w:pPr>
        <w:spacing w:after="0" w:line="240" w:lineRule="auto"/>
        <w:ind w:left="426"/>
      </w:pPr>
      <w:r w:rsidRPr="009976D3">
        <w:t xml:space="preserve">If migration is unfeasible or uneconomic, exporting of records to a long term preservation format </w:t>
      </w:r>
      <w:r w:rsidR="00A710C5">
        <w:t>to be stored elsewhere</w:t>
      </w:r>
      <w:r w:rsidR="00187319">
        <w:t xml:space="preserve"> </w:t>
      </w:r>
      <w:r w:rsidR="00102625">
        <w:t>may be</w:t>
      </w:r>
      <w:r w:rsidR="00102625" w:rsidRPr="009976D3">
        <w:t xml:space="preserve"> </w:t>
      </w:r>
      <w:r w:rsidRPr="009976D3">
        <w:t>possible. Depending on the number of records or complexity of the data, this may impact access. Data may be able to be exported using multiple queries to produce files containing records with different retention requirements. Care must be taken to ensure that metadata such as audit logs are appropriately retained, and that the exported data is structured to facilitate text searching.</w:t>
      </w:r>
    </w:p>
    <w:p w14:paraId="1DBF140E" w14:textId="43581899" w:rsidR="00445B96" w:rsidRPr="00166CFC" w:rsidRDefault="00445B96" w:rsidP="00F42F08">
      <w:pPr>
        <w:pStyle w:val="ListParagraph"/>
        <w:numPr>
          <w:ilvl w:val="0"/>
          <w:numId w:val="4"/>
        </w:numPr>
        <w:spacing w:before="120" w:after="120" w:line="240" w:lineRule="auto"/>
      </w:pPr>
      <w:r w:rsidRPr="00166CFC">
        <w:t>Recordkeeping in place</w:t>
      </w:r>
    </w:p>
    <w:p w14:paraId="467116DB" w14:textId="23B71505" w:rsidR="00445B96" w:rsidRDefault="00445B96" w:rsidP="00445B96">
      <w:pPr>
        <w:spacing w:after="0" w:line="240" w:lineRule="auto"/>
        <w:ind w:left="426"/>
      </w:pPr>
      <w:r w:rsidRPr="009976D3">
        <w:t xml:space="preserve">If the required retention of records in the business system is short, then the cost of decommissioning the system should be weighed against the cost of keeping the legacy system running for the required timeframe. Costs may be able to be brought down by shifting a business system from dedicated server hardware to a virtual machine, as performance </w:t>
      </w:r>
      <w:r w:rsidR="00102625">
        <w:t xml:space="preserve">requirements </w:t>
      </w:r>
      <w:r w:rsidRPr="009976D3">
        <w:t>should be more modest.</w:t>
      </w:r>
    </w:p>
    <w:p w14:paraId="070D5F86" w14:textId="77777777" w:rsidR="00445B96" w:rsidRPr="007B60B3" w:rsidRDefault="00445B96" w:rsidP="00E41C94">
      <w:pPr>
        <w:pStyle w:val="Heading2"/>
      </w:pPr>
      <w:r w:rsidRPr="007B60B3">
        <w:t>References</w:t>
      </w:r>
    </w:p>
    <w:p w14:paraId="1DE94839" w14:textId="77777777" w:rsidR="00445B96" w:rsidRDefault="003A59DF" w:rsidP="00445B96">
      <w:pPr>
        <w:spacing w:after="0" w:line="240" w:lineRule="auto"/>
      </w:pPr>
      <w:hyperlink r:id="rId8" w:history="1">
        <w:r w:rsidR="00445B96" w:rsidRPr="00C929F3">
          <w:rPr>
            <w:rStyle w:val="Hyperlink"/>
          </w:rPr>
          <w:t>Manage records when decommissioning business systems (QLD</w:t>
        </w:r>
      </w:hyperlink>
      <w:r w:rsidR="00445B96">
        <w:t xml:space="preserve">) </w:t>
      </w:r>
    </w:p>
    <w:p w14:paraId="19846D61" w14:textId="77777777" w:rsidR="00445B96" w:rsidRDefault="00445B96" w:rsidP="00445B96">
      <w:pPr>
        <w:spacing w:after="0" w:line="240" w:lineRule="auto"/>
      </w:pPr>
    </w:p>
    <w:p w14:paraId="20B23048" w14:textId="17BF5C8C" w:rsidR="005A7AB5" w:rsidRPr="007B645D" w:rsidRDefault="003A59DF" w:rsidP="00E41C94">
      <w:pPr>
        <w:spacing w:after="0" w:line="240" w:lineRule="auto"/>
      </w:pPr>
      <w:hyperlink r:id="rId9" w:history="1">
        <w:r w:rsidR="00445B96" w:rsidRPr="00C929F3">
          <w:rPr>
            <w:rStyle w:val="Hyperlink"/>
          </w:rPr>
          <w:t>Managing records in business systems: Overview (TAHO)</w:t>
        </w:r>
      </w:hyperlink>
    </w:p>
    <w:sectPr w:rsidR="005A7AB5" w:rsidRPr="007B645D" w:rsidSect="00105161">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440"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9384" w14:textId="77777777" w:rsidR="003059CD" w:rsidRDefault="003059CD" w:rsidP="00222472">
      <w:r>
        <w:separator/>
      </w:r>
    </w:p>
  </w:endnote>
  <w:endnote w:type="continuationSeparator" w:id="0">
    <w:p w14:paraId="267BDEE6" w14:textId="77777777" w:rsidR="003059CD" w:rsidRDefault="003059CD" w:rsidP="0022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FEC0" w14:textId="77777777" w:rsidR="003A59DF" w:rsidRDefault="003A5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A42A" w14:textId="77777777" w:rsidR="00E41C94" w:rsidRPr="00E41C94" w:rsidRDefault="00445B96" w:rsidP="00E41C94">
    <w:pPr>
      <w:pStyle w:val="Footer"/>
      <w:spacing w:after="0" w:line="240" w:lineRule="auto"/>
      <w:rPr>
        <w:sz w:val="20"/>
        <w:szCs w:val="20"/>
      </w:rPr>
    </w:pPr>
    <w:r w:rsidRPr="00E41C94">
      <w:rPr>
        <w:b/>
        <w:sz w:val="20"/>
        <w:szCs w:val="20"/>
      </w:rPr>
      <w:t>Territory Records Office</w:t>
    </w:r>
    <w:r w:rsidRPr="00E41C94">
      <w:rPr>
        <w:sz w:val="20"/>
        <w:szCs w:val="20"/>
      </w:rPr>
      <w:t xml:space="preserve"> </w:t>
    </w:r>
    <w:r w:rsidR="00E41C94" w:rsidRPr="00E41C94">
      <w:rPr>
        <w:sz w:val="20"/>
        <w:szCs w:val="20"/>
      </w:rPr>
      <w:tab/>
      <w:t xml:space="preserve">   </w:t>
    </w:r>
  </w:p>
  <w:p w14:paraId="455B1E27" w14:textId="3F6BB307" w:rsidR="00E41C94" w:rsidRPr="00E41C94" w:rsidRDefault="00445B96" w:rsidP="00E41C94">
    <w:pPr>
      <w:pStyle w:val="Footer"/>
      <w:spacing w:after="0" w:line="240" w:lineRule="auto"/>
      <w:rPr>
        <w:b/>
        <w:sz w:val="20"/>
        <w:szCs w:val="20"/>
      </w:rPr>
    </w:pPr>
    <w:r w:rsidRPr="00E41C94">
      <w:rPr>
        <w:rFonts w:ascii="Arial" w:hAnsi="Arial" w:cs="Arial"/>
        <w:sz w:val="20"/>
        <w:szCs w:val="20"/>
      </w:rPr>
      <w:t>●</w:t>
    </w:r>
    <w:r w:rsidRPr="00E41C94">
      <w:rPr>
        <w:b/>
        <w:sz w:val="20"/>
        <w:szCs w:val="20"/>
      </w:rPr>
      <w:t xml:space="preserve"> </w:t>
    </w:r>
    <w:r w:rsidRPr="00E41C94">
      <w:rPr>
        <w:sz w:val="20"/>
        <w:szCs w:val="20"/>
      </w:rPr>
      <w:t>Canberra Nara Centre</w:t>
    </w:r>
    <w:r w:rsidRPr="00E41C94">
      <w:rPr>
        <w:b/>
        <w:bCs/>
        <w:sz w:val="20"/>
        <w:szCs w:val="20"/>
      </w:rPr>
      <w:t>,</w:t>
    </w:r>
    <w:r w:rsidRPr="00E41C94">
      <w:rPr>
        <w:sz w:val="20"/>
        <w:szCs w:val="20"/>
      </w:rPr>
      <w:t xml:space="preserve"> 1 Constitution Avenue, Canberra City ACT 2601</w:t>
    </w:r>
  </w:p>
  <w:p w14:paraId="21BFF03B" w14:textId="77777777" w:rsidR="00E41C94" w:rsidRPr="00E41C94" w:rsidRDefault="00445B96" w:rsidP="00E41C94">
    <w:pPr>
      <w:pStyle w:val="Footer"/>
      <w:spacing w:after="0" w:line="240" w:lineRule="auto"/>
      <w:rPr>
        <w:rFonts w:ascii="Arial" w:hAnsi="Arial" w:cs="Arial"/>
        <w:b/>
        <w:sz w:val="20"/>
        <w:szCs w:val="20"/>
      </w:rPr>
    </w:pPr>
    <w:r w:rsidRPr="00E41C94">
      <w:rPr>
        <w:rFonts w:ascii="Arial" w:hAnsi="Arial" w:cs="Arial"/>
        <w:b/>
        <w:sz w:val="20"/>
        <w:szCs w:val="20"/>
      </w:rPr>
      <w:t>●</w:t>
    </w:r>
    <w:r w:rsidRPr="00E41C94">
      <w:rPr>
        <w:b/>
        <w:sz w:val="20"/>
        <w:szCs w:val="20"/>
      </w:rPr>
      <w:t xml:space="preserve"> </w:t>
    </w:r>
    <w:r w:rsidRPr="00E41C94">
      <w:rPr>
        <w:sz w:val="20"/>
        <w:szCs w:val="20"/>
      </w:rPr>
      <w:t>GPO Box 158 Canberra ACT 2601</w:t>
    </w:r>
    <w:r w:rsidRPr="00E41C94">
      <w:rPr>
        <w:b/>
        <w:sz w:val="20"/>
        <w:szCs w:val="20"/>
      </w:rPr>
      <w:t xml:space="preserve"> </w:t>
    </w:r>
    <w:r w:rsidR="00E41C94" w:rsidRPr="00E41C94">
      <w:rPr>
        <w:rFonts w:ascii="Arial" w:hAnsi="Arial" w:cs="Arial"/>
        <w:b/>
        <w:sz w:val="20"/>
        <w:szCs w:val="20"/>
      </w:rPr>
      <w:tab/>
    </w:r>
    <w:r w:rsidR="00E41C94" w:rsidRPr="00E41C94">
      <w:rPr>
        <w:rFonts w:ascii="Arial" w:hAnsi="Arial" w:cs="Arial"/>
        <w:b/>
        <w:sz w:val="20"/>
        <w:szCs w:val="20"/>
      </w:rPr>
      <w:tab/>
    </w:r>
  </w:p>
  <w:p w14:paraId="295F992D" w14:textId="02961F4B" w:rsidR="00445B96" w:rsidRPr="00E41C94" w:rsidRDefault="00445B96" w:rsidP="00E41C94">
    <w:pPr>
      <w:pStyle w:val="Footer"/>
      <w:spacing w:after="0" w:line="240" w:lineRule="auto"/>
      <w:rPr>
        <w:color w:val="0563C1" w:themeColor="hyperlink"/>
        <w:sz w:val="20"/>
        <w:szCs w:val="20"/>
        <w:u w:val="single"/>
      </w:rPr>
    </w:pPr>
    <w:r w:rsidRPr="00E41C94">
      <w:rPr>
        <w:rFonts w:ascii="Arial" w:hAnsi="Arial" w:cs="Arial"/>
        <w:sz w:val="20"/>
        <w:szCs w:val="20"/>
      </w:rPr>
      <w:t>●</w:t>
    </w:r>
    <w:r w:rsidRPr="00E41C94">
      <w:rPr>
        <w:sz w:val="20"/>
        <w:szCs w:val="20"/>
      </w:rPr>
      <w:t xml:space="preserve"> Email: </w:t>
    </w:r>
    <w:hyperlink r:id="rId1" w:history="1">
      <w:r w:rsidRPr="00E41C94">
        <w:rPr>
          <w:rStyle w:val="Hyperlink"/>
          <w:sz w:val="20"/>
          <w:szCs w:val="20"/>
        </w:rPr>
        <w:t>TRO@act.gov.au</w:t>
      </w:r>
    </w:hyperlink>
    <w:r w:rsidR="00E41C94" w:rsidRPr="00E41C94">
      <w:rPr>
        <w:sz w:val="20"/>
        <w:szCs w:val="20"/>
      </w:rPr>
      <w:br/>
      <w:t xml:space="preserve">Version:  1.0  </w:t>
    </w:r>
    <w:r w:rsidR="00E41C94" w:rsidRPr="00E41C94">
      <w:rPr>
        <w:sz w:val="20"/>
        <w:szCs w:val="20"/>
      </w:rPr>
      <w:tab/>
      <w:t xml:space="preserve">Page </w:t>
    </w:r>
    <w:r w:rsidRPr="00E41C94">
      <w:rPr>
        <w:sz w:val="20"/>
        <w:szCs w:val="20"/>
      </w:rPr>
      <w:fldChar w:fldCharType="begin"/>
    </w:r>
    <w:r w:rsidRPr="00E41C94">
      <w:rPr>
        <w:sz w:val="20"/>
        <w:szCs w:val="20"/>
      </w:rPr>
      <w:instrText xml:space="preserve"> PAGE   \* MERGEFORMAT </w:instrText>
    </w:r>
    <w:r w:rsidRPr="00E41C94">
      <w:rPr>
        <w:sz w:val="20"/>
        <w:szCs w:val="20"/>
      </w:rPr>
      <w:fldChar w:fldCharType="separate"/>
    </w:r>
    <w:r w:rsidR="003A59DF">
      <w:rPr>
        <w:noProof/>
        <w:sz w:val="20"/>
        <w:szCs w:val="20"/>
      </w:rPr>
      <w:t>2</w:t>
    </w:r>
    <w:r w:rsidRPr="00E41C94">
      <w:rPr>
        <w:sz w:val="20"/>
        <w:szCs w:val="20"/>
      </w:rPr>
      <w:fldChar w:fldCharType="end"/>
    </w:r>
    <w:r w:rsidR="00E41C94" w:rsidRPr="00E41C94">
      <w:rPr>
        <w:sz w:val="20"/>
        <w:szCs w:val="20"/>
      </w:rPr>
      <w:tab/>
      <w:t xml:space="preserve"> </w:t>
    </w:r>
    <w:r w:rsidRPr="00E41C94">
      <w:rPr>
        <w:sz w:val="20"/>
        <w:szCs w:val="20"/>
      </w:rPr>
      <w:t xml:space="preserve">Last update: </w:t>
    </w:r>
    <w:r w:rsidRPr="00E41C94">
      <w:rPr>
        <w:sz w:val="20"/>
        <w:szCs w:val="20"/>
      </w:rPr>
      <w:fldChar w:fldCharType="begin"/>
    </w:r>
    <w:r w:rsidRPr="00E41C94">
      <w:rPr>
        <w:sz w:val="20"/>
        <w:szCs w:val="20"/>
      </w:rPr>
      <w:instrText xml:space="preserve"> DATE \@ "dd/MM/yyyy" </w:instrText>
    </w:r>
    <w:r w:rsidRPr="00E41C94">
      <w:rPr>
        <w:sz w:val="20"/>
        <w:szCs w:val="20"/>
      </w:rPr>
      <w:fldChar w:fldCharType="separate"/>
    </w:r>
    <w:r w:rsidR="003A59DF">
      <w:rPr>
        <w:noProof/>
        <w:sz w:val="20"/>
        <w:szCs w:val="20"/>
      </w:rPr>
      <w:t>05/02/2019</w:t>
    </w:r>
    <w:r w:rsidRPr="00E41C9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FAC1" w14:textId="77777777" w:rsidR="00E41C94" w:rsidRPr="00E41C94" w:rsidRDefault="00E41C94" w:rsidP="00E41C94">
    <w:pPr>
      <w:pStyle w:val="Footer"/>
      <w:spacing w:after="0" w:line="240" w:lineRule="auto"/>
      <w:rPr>
        <w:sz w:val="20"/>
        <w:szCs w:val="20"/>
      </w:rPr>
    </w:pPr>
    <w:r w:rsidRPr="00E41C94">
      <w:rPr>
        <w:b/>
        <w:sz w:val="20"/>
        <w:szCs w:val="20"/>
      </w:rPr>
      <w:t>Territory Records Office</w:t>
    </w:r>
    <w:r w:rsidRPr="00E41C94">
      <w:rPr>
        <w:sz w:val="20"/>
        <w:szCs w:val="20"/>
      </w:rPr>
      <w:t xml:space="preserve"> </w:t>
    </w:r>
    <w:r w:rsidRPr="00E41C94">
      <w:rPr>
        <w:sz w:val="20"/>
        <w:szCs w:val="20"/>
      </w:rPr>
      <w:tab/>
      <w:t xml:space="preserve">   </w:t>
    </w:r>
  </w:p>
  <w:p w14:paraId="52D0A37E" w14:textId="77777777" w:rsidR="00E41C94" w:rsidRPr="00E41C94" w:rsidRDefault="00E41C94" w:rsidP="00E41C94">
    <w:pPr>
      <w:pStyle w:val="Footer"/>
      <w:spacing w:after="0" w:line="240" w:lineRule="auto"/>
      <w:rPr>
        <w:b/>
        <w:sz w:val="20"/>
        <w:szCs w:val="20"/>
      </w:rPr>
    </w:pPr>
    <w:r w:rsidRPr="00E41C94">
      <w:rPr>
        <w:rFonts w:ascii="Arial" w:hAnsi="Arial" w:cs="Arial"/>
        <w:sz w:val="20"/>
        <w:szCs w:val="20"/>
      </w:rPr>
      <w:t>●</w:t>
    </w:r>
    <w:r w:rsidRPr="00E41C94">
      <w:rPr>
        <w:b/>
        <w:sz w:val="20"/>
        <w:szCs w:val="20"/>
      </w:rPr>
      <w:t xml:space="preserve"> </w:t>
    </w:r>
    <w:r w:rsidRPr="00E41C94">
      <w:rPr>
        <w:sz w:val="20"/>
        <w:szCs w:val="20"/>
      </w:rPr>
      <w:t>Canberra Nara Centre</w:t>
    </w:r>
    <w:r w:rsidRPr="00E41C94">
      <w:rPr>
        <w:b/>
        <w:bCs/>
        <w:sz w:val="20"/>
        <w:szCs w:val="20"/>
      </w:rPr>
      <w:t>,</w:t>
    </w:r>
    <w:r w:rsidRPr="00E41C94">
      <w:rPr>
        <w:sz w:val="20"/>
        <w:szCs w:val="20"/>
      </w:rPr>
      <w:t xml:space="preserve"> 1 Constitution Avenue, Canberra City ACT 2601</w:t>
    </w:r>
  </w:p>
  <w:p w14:paraId="291CE966" w14:textId="77777777" w:rsidR="00E41C94" w:rsidRPr="00E41C94" w:rsidRDefault="00E41C94" w:rsidP="00E41C94">
    <w:pPr>
      <w:pStyle w:val="Footer"/>
      <w:spacing w:after="0" w:line="240" w:lineRule="auto"/>
      <w:rPr>
        <w:rFonts w:ascii="Arial" w:hAnsi="Arial" w:cs="Arial"/>
        <w:b/>
        <w:sz w:val="20"/>
        <w:szCs w:val="20"/>
      </w:rPr>
    </w:pPr>
    <w:r w:rsidRPr="00E41C94">
      <w:rPr>
        <w:rFonts w:ascii="Arial" w:hAnsi="Arial" w:cs="Arial"/>
        <w:b/>
        <w:sz w:val="20"/>
        <w:szCs w:val="20"/>
      </w:rPr>
      <w:t>●</w:t>
    </w:r>
    <w:r w:rsidRPr="00E41C94">
      <w:rPr>
        <w:b/>
        <w:sz w:val="20"/>
        <w:szCs w:val="20"/>
      </w:rPr>
      <w:t xml:space="preserve"> </w:t>
    </w:r>
    <w:r w:rsidRPr="00E41C94">
      <w:rPr>
        <w:sz w:val="20"/>
        <w:szCs w:val="20"/>
      </w:rPr>
      <w:t>GPO Box 158 Canberra ACT 2601</w:t>
    </w:r>
    <w:r w:rsidRPr="00E41C94">
      <w:rPr>
        <w:b/>
        <w:sz w:val="20"/>
        <w:szCs w:val="20"/>
      </w:rPr>
      <w:t xml:space="preserve"> </w:t>
    </w:r>
    <w:r w:rsidRPr="00E41C94">
      <w:rPr>
        <w:rFonts w:ascii="Arial" w:hAnsi="Arial" w:cs="Arial"/>
        <w:b/>
        <w:sz w:val="20"/>
        <w:szCs w:val="20"/>
      </w:rPr>
      <w:tab/>
    </w:r>
    <w:r w:rsidRPr="00E41C94">
      <w:rPr>
        <w:rFonts w:ascii="Arial" w:hAnsi="Arial" w:cs="Arial"/>
        <w:b/>
        <w:sz w:val="20"/>
        <w:szCs w:val="20"/>
      </w:rPr>
      <w:tab/>
    </w:r>
  </w:p>
  <w:p w14:paraId="78418264" w14:textId="543B2E07" w:rsidR="00105161" w:rsidRPr="00E41C94" w:rsidRDefault="00E41C94" w:rsidP="00E41C94">
    <w:pPr>
      <w:pStyle w:val="Footer"/>
      <w:spacing w:after="0" w:line="240" w:lineRule="auto"/>
      <w:rPr>
        <w:color w:val="0563C1" w:themeColor="hyperlink"/>
        <w:sz w:val="20"/>
        <w:szCs w:val="20"/>
        <w:u w:val="single"/>
      </w:rPr>
    </w:pPr>
    <w:r w:rsidRPr="00E41C94">
      <w:rPr>
        <w:rFonts w:ascii="Arial" w:hAnsi="Arial" w:cs="Arial"/>
        <w:sz w:val="20"/>
        <w:szCs w:val="20"/>
      </w:rPr>
      <w:t>●</w:t>
    </w:r>
    <w:r w:rsidRPr="00E41C94">
      <w:rPr>
        <w:sz w:val="20"/>
        <w:szCs w:val="20"/>
      </w:rPr>
      <w:t xml:space="preserve"> Email: </w:t>
    </w:r>
    <w:hyperlink r:id="rId1" w:history="1">
      <w:r w:rsidRPr="00E41C94">
        <w:rPr>
          <w:rStyle w:val="Hyperlink"/>
          <w:sz w:val="20"/>
          <w:szCs w:val="20"/>
        </w:rPr>
        <w:t>TRO@act.gov.au</w:t>
      </w:r>
    </w:hyperlink>
    <w:r w:rsidRPr="00E41C94">
      <w:rPr>
        <w:sz w:val="20"/>
        <w:szCs w:val="20"/>
      </w:rPr>
      <w:br/>
      <w:t xml:space="preserve">Version:  1.0  </w:t>
    </w:r>
    <w:r w:rsidRPr="00E41C94">
      <w:rPr>
        <w:sz w:val="20"/>
        <w:szCs w:val="20"/>
      </w:rPr>
      <w:tab/>
      <w:t xml:space="preserve">Page </w:t>
    </w:r>
    <w:r w:rsidRPr="00E41C94">
      <w:rPr>
        <w:sz w:val="20"/>
        <w:szCs w:val="20"/>
      </w:rPr>
      <w:fldChar w:fldCharType="begin"/>
    </w:r>
    <w:r w:rsidRPr="00E41C94">
      <w:rPr>
        <w:sz w:val="20"/>
        <w:szCs w:val="20"/>
      </w:rPr>
      <w:instrText xml:space="preserve"> PAGE   \* MERGEFORMAT </w:instrText>
    </w:r>
    <w:r w:rsidRPr="00E41C94">
      <w:rPr>
        <w:sz w:val="20"/>
        <w:szCs w:val="20"/>
      </w:rPr>
      <w:fldChar w:fldCharType="separate"/>
    </w:r>
    <w:r w:rsidR="003A59DF">
      <w:rPr>
        <w:noProof/>
        <w:sz w:val="20"/>
        <w:szCs w:val="20"/>
      </w:rPr>
      <w:t>1</w:t>
    </w:r>
    <w:r w:rsidRPr="00E41C94">
      <w:rPr>
        <w:sz w:val="20"/>
        <w:szCs w:val="20"/>
      </w:rPr>
      <w:fldChar w:fldCharType="end"/>
    </w:r>
    <w:r w:rsidRPr="00E41C94">
      <w:rPr>
        <w:sz w:val="20"/>
        <w:szCs w:val="20"/>
      </w:rPr>
      <w:tab/>
      <w:t xml:space="preserve"> Last update: </w:t>
    </w:r>
    <w:r w:rsidRPr="00E41C94">
      <w:rPr>
        <w:sz w:val="20"/>
        <w:szCs w:val="20"/>
      </w:rPr>
      <w:fldChar w:fldCharType="begin"/>
    </w:r>
    <w:r w:rsidRPr="00E41C94">
      <w:rPr>
        <w:sz w:val="20"/>
        <w:szCs w:val="20"/>
      </w:rPr>
      <w:instrText xml:space="preserve"> DATE \@ "dd/MM/yyyy" </w:instrText>
    </w:r>
    <w:r w:rsidRPr="00E41C94">
      <w:rPr>
        <w:sz w:val="20"/>
        <w:szCs w:val="20"/>
      </w:rPr>
      <w:fldChar w:fldCharType="separate"/>
    </w:r>
    <w:r w:rsidR="003A59DF">
      <w:rPr>
        <w:noProof/>
        <w:sz w:val="20"/>
        <w:szCs w:val="20"/>
      </w:rPr>
      <w:t>05/02/2019</w:t>
    </w:r>
    <w:r w:rsidRPr="00E41C9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1837" w14:textId="77777777" w:rsidR="003059CD" w:rsidRDefault="003059CD" w:rsidP="00222472">
      <w:r>
        <w:separator/>
      </w:r>
    </w:p>
  </w:footnote>
  <w:footnote w:type="continuationSeparator" w:id="0">
    <w:p w14:paraId="7D232D2E" w14:textId="77777777" w:rsidR="003059CD" w:rsidRDefault="003059CD" w:rsidP="0022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8420" w14:textId="77777777" w:rsidR="003A59DF" w:rsidRDefault="003A5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D2CB" w14:textId="77777777" w:rsidR="00063054" w:rsidRDefault="00063054" w:rsidP="005A7AB5">
    <w:pPr>
      <w:pStyle w:val="Header"/>
      <w:tabs>
        <w:tab w:val="clear" w:pos="4513"/>
        <w:tab w:val="clear" w:pos="9026"/>
        <w:tab w:val="left" w:pos="6255"/>
      </w:tabs>
      <w:ind w:right="-44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2C68" w14:textId="77777777" w:rsidR="00105161" w:rsidRDefault="00105161" w:rsidP="00105161">
    <w:pPr>
      <w:pStyle w:val="Header"/>
      <w:tabs>
        <w:tab w:val="clear" w:pos="4513"/>
        <w:tab w:val="clear" w:pos="9026"/>
        <w:tab w:val="left" w:pos="6255"/>
      </w:tabs>
      <w:ind w:right="-447"/>
    </w:pPr>
    <w:r>
      <w:rPr>
        <w:noProof/>
        <w:lang w:eastAsia="en-AU"/>
      </w:rPr>
      <w:drawing>
        <wp:anchor distT="0" distB="0" distL="114300" distR="114300" simplePos="0" relativeHeight="251661312" behindDoc="1" locked="0" layoutInCell="1" allowOverlap="1" wp14:anchorId="54029608" wp14:editId="0CABA783">
          <wp:simplePos x="0" y="0"/>
          <wp:positionH relativeFrom="page">
            <wp:posOffset>-19050</wp:posOffset>
          </wp:positionH>
          <wp:positionV relativeFrom="paragraph">
            <wp:posOffset>-480695</wp:posOffset>
          </wp:positionV>
          <wp:extent cx="7734300" cy="1533525"/>
          <wp:effectExtent l="0" t="0" r="0" b="9525"/>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4F5E4136" wp14:editId="6DF894C0">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746F7C50" wp14:editId="7400FEEC">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7A45D24C" w14:textId="77777777" w:rsidR="00105161" w:rsidRPr="00E92846" w:rsidRDefault="00105161" w:rsidP="00E41C94">
                          <w:pPr>
                            <w:spacing w:line="360" w:lineRule="auto"/>
                            <w:ind w:left="142" w:right="-505"/>
                            <w:jc w:val="center"/>
                            <w:rPr>
                              <w:rFonts w:ascii="Montserrat" w:hAnsi="Montserrat" w:cs="Arial"/>
                              <w:color w:val="FFFFFF" w:themeColor="background1"/>
                              <w:sz w:val="16"/>
                              <w:szCs w:val="16"/>
                            </w:rPr>
                          </w:pPr>
                          <w:r w:rsidRPr="00E92846">
                            <w:rPr>
                              <w:rFonts w:ascii="Montserrat" w:hAnsi="Montserrat" w:cs="Arial"/>
                              <w:color w:val="FFFFFF" w:themeColor="background1"/>
                              <w:sz w:val="16"/>
                              <w:szCs w:val="16"/>
                            </w:rPr>
                            <w:t>TERRITORY RECORDS OFFICE</w:t>
                          </w:r>
                        </w:p>
                        <w:p w14:paraId="63A197B5" w14:textId="77777777" w:rsidR="00105161" w:rsidRPr="00E92846" w:rsidRDefault="00105161" w:rsidP="00105161">
                          <w:pPr>
                            <w:spacing w:line="216" w:lineRule="auto"/>
                            <w:ind w:left="142" w:right="-505"/>
                            <w:jc w:val="center"/>
                            <w:rPr>
                              <w:rFonts w:ascii="Montserrat" w:hAnsi="Montserrat" w:cs="Arial"/>
                              <w:color w:val="FFFFFF" w:themeColor="background1"/>
                              <w:sz w:val="36"/>
                              <w:szCs w:val="36"/>
                            </w:rPr>
                          </w:pPr>
                          <w:r w:rsidRPr="00E92846">
                            <w:rPr>
                              <w:rFonts w:ascii="Montserrat" w:hAnsi="Montserrat" w:cs="Arial"/>
                              <w:color w:val="FFFFFF" w:themeColor="background1"/>
                              <w:sz w:val="36"/>
                              <w:szCs w:val="36"/>
                            </w:rPr>
                            <w:t>RECORDS ADVICE</w:t>
                          </w:r>
                        </w:p>
                      </w:txbxContent>
                    </wps:txbx>
                    <wps:bodyPr rot="0" vert="horz" wrap="square" lIns="91440" tIns="45720" rIns="91440" bIns="45720" anchor="t" anchorCtr="0">
                      <a:noAutofit/>
                    </wps:bodyPr>
                  </wps:wsp>
                </a:graphicData>
              </a:graphic>
            </wp:inline>
          </w:drawing>
        </mc:Choice>
        <mc:Fallback>
          <w:pict>
            <v:shapetype w14:anchorId="746F7C50"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" filled="f" stroked="f">
              <v:textbox>
                <w:txbxContent>
                  <w:p w14:paraId="7A45D24C" w14:textId="77777777" w:rsidR="00105161" w:rsidRPr="00E92846" w:rsidRDefault="00105161" w:rsidP="00E41C94">
                    <w:pPr>
                      <w:spacing w:line="360" w:lineRule="auto"/>
                      <w:ind w:left="142" w:right="-505"/>
                      <w:jc w:val="center"/>
                      <w:rPr>
                        <w:rFonts w:ascii="Montserrat" w:hAnsi="Montserrat" w:cs="Arial"/>
                        <w:color w:val="FFFFFF" w:themeColor="background1"/>
                        <w:sz w:val="16"/>
                        <w:szCs w:val="16"/>
                      </w:rPr>
                    </w:pPr>
                    <w:r w:rsidRPr="00E92846">
                      <w:rPr>
                        <w:rFonts w:ascii="Montserrat" w:hAnsi="Montserrat" w:cs="Arial"/>
                        <w:color w:val="FFFFFF" w:themeColor="background1"/>
                        <w:sz w:val="16"/>
                        <w:szCs w:val="16"/>
                      </w:rPr>
                      <w:t>TERRITORY RECORDS OFFICE</w:t>
                    </w:r>
                  </w:p>
                  <w:p w14:paraId="63A197B5" w14:textId="77777777" w:rsidR="00105161" w:rsidRPr="00E92846" w:rsidRDefault="00105161" w:rsidP="00105161">
                    <w:pPr>
                      <w:spacing w:line="216" w:lineRule="auto"/>
                      <w:ind w:left="142" w:right="-505"/>
                      <w:jc w:val="center"/>
                      <w:rPr>
                        <w:rFonts w:ascii="Montserrat" w:hAnsi="Montserrat" w:cs="Arial"/>
                        <w:color w:val="FFFFFF" w:themeColor="background1"/>
                        <w:sz w:val="36"/>
                        <w:szCs w:val="36"/>
                      </w:rPr>
                    </w:pPr>
                    <w:r w:rsidRPr="00E92846">
                      <w:rPr>
                        <w:rFonts w:ascii="Montserrat" w:hAnsi="Montserrat" w:cs="Arial"/>
                        <w:color w:val="FFFFFF" w:themeColor="background1"/>
                        <w:sz w:val="36"/>
                        <w:szCs w:val="36"/>
                      </w:rPr>
                      <w:t>RECORDS ADVICE</w:t>
                    </w:r>
                  </w:p>
                </w:txbxContent>
              </v:textbox>
              <w10:anchorlock/>
            </v:shape>
          </w:pict>
        </mc:Fallback>
      </mc:AlternateContent>
    </w:r>
    <w:r>
      <w:tab/>
    </w:r>
  </w:p>
  <w:p w14:paraId="5E205956" w14:textId="77777777" w:rsidR="00105161" w:rsidRDefault="00105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2B2570"/>
    <w:multiLevelType w:val="hybridMultilevel"/>
    <w:tmpl w:val="4B14AEE2"/>
    <w:lvl w:ilvl="0" w:tplc="7DEAE92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15:restartNumberingAfterBreak="0">
    <w:nsid w:val="1AB4295C"/>
    <w:multiLevelType w:val="hybridMultilevel"/>
    <w:tmpl w:val="D082CA0E"/>
    <w:lvl w:ilvl="0" w:tplc="BFCA36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6"/>
    <w:rsid w:val="00063054"/>
    <w:rsid w:val="000D6376"/>
    <w:rsid w:val="00102625"/>
    <w:rsid w:val="00105161"/>
    <w:rsid w:val="00166CFC"/>
    <w:rsid w:val="00187319"/>
    <w:rsid w:val="001F1F60"/>
    <w:rsid w:val="00222472"/>
    <w:rsid w:val="002951D1"/>
    <w:rsid w:val="003059CD"/>
    <w:rsid w:val="003A59DF"/>
    <w:rsid w:val="00445B96"/>
    <w:rsid w:val="00460AB3"/>
    <w:rsid w:val="004E4D99"/>
    <w:rsid w:val="00554411"/>
    <w:rsid w:val="005A7AB5"/>
    <w:rsid w:val="00631D2E"/>
    <w:rsid w:val="007B645D"/>
    <w:rsid w:val="0084122B"/>
    <w:rsid w:val="009304B8"/>
    <w:rsid w:val="009E17B9"/>
    <w:rsid w:val="00A710C5"/>
    <w:rsid w:val="00DA5200"/>
    <w:rsid w:val="00DA719A"/>
    <w:rsid w:val="00E17BD4"/>
    <w:rsid w:val="00E41C94"/>
    <w:rsid w:val="00F42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08ABE"/>
  <w15:chartTrackingRefBased/>
  <w15:docId w15:val="{47765D0E-FFE1-48D1-851F-CB7AF6F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96"/>
  </w:style>
  <w:style w:type="paragraph" w:styleId="Heading1">
    <w:name w:val="heading 1"/>
    <w:basedOn w:val="Normal"/>
    <w:next w:val="Normal"/>
    <w:link w:val="Heading1Char"/>
    <w:uiPriority w:val="9"/>
    <w:qFormat/>
    <w:rsid w:val="00460AB3"/>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41C94"/>
    <w:pPr>
      <w:spacing w:before="240" w:after="12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Heading2"/>
    <w:qFormat/>
    <w:rsid w:val="00063054"/>
    <w:pPr>
      <w:spacing w:after="60"/>
    </w:pPr>
    <w:rPr>
      <w:rFonts w:ascii="Arial" w:eastAsia="Times New Roman" w:hAnsi="Arial" w:cs="Arial"/>
      <w:b w:val="0"/>
      <w:i/>
      <w:iCs/>
      <w:kern w:val="32"/>
      <w:sz w:val="28"/>
      <w:szCs w:val="28"/>
    </w:rPr>
  </w:style>
  <w:style w:type="paragraph" w:styleId="ListParagraph">
    <w:name w:val="List Paragraph"/>
    <w:basedOn w:val="Normal"/>
    <w:uiPriority w:val="34"/>
    <w:qFormat/>
    <w:rsid w:val="00063054"/>
    <w:pPr>
      <w:ind w:left="720"/>
      <w:contextualSpacing/>
    </w:pPr>
  </w:style>
  <w:style w:type="character" w:customStyle="1" w:styleId="Heading1Char">
    <w:name w:val="Heading 1 Char"/>
    <w:basedOn w:val="DefaultParagraphFont"/>
    <w:link w:val="Heading1"/>
    <w:uiPriority w:val="9"/>
    <w:rsid w:val="00460AB3"/>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E41C94"/>
    <w:rPr>
      <w:b/>
    </w:rPr>
  </w:style>
  <w:style w:type="paragraph" w:styleId="BalloonText">
    <w:name w:val="Balloon Text"/>
    <w:basedOn w:val="Normal"/>
    <w:link w:val="BalloonTextChar"/>
    <w:uiPriority w:val="99"/>
    <w:semiHidden/>
    <w:unhideWhenUsed/>
    <w:rsid w:val="00063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character" w:styleId="Hyperlink">
    <w:name w:val="Hyperlink"/>
    <w:basedOn w:val="DefaultParagraphFont"/>
    <w:uiPriority w:val="99"/>
    <w:unhideWhenUsed/>
    <w:rsid w:val="00445B96"/>
    <w:rPr>
      <w:color w:val="0563C1" w:themeColor="hyperlink"/>
      <w:u w:val="single"/>
    </w:rPr>
  </w:style>
  <w:style w:type="character" w:styleId="CommentReference">
    <w:name w:val="annotation reference"/>
    <w:basedOn w:val="DefaultParagraphFont"/>
    <w:uiPriority w:val="99"/>
    <w:semiHidden/>
    <w:unhideWhenUsed/>
    <w:rsid w:val="00445B96"/>
    <w:rPr>
      <w:sz w:val="16"/>
      <w:szCs w:val="16"/>
    </w:rPr>
  </w:style>
  <w:style w:type="paragraph" w:styleId="CommentText">
    <w:name w:val="annotation text"/>
    <w:basedOn w:val="Normal"/>
    <w:link w:val="CommentTextChar"/>
    <w:uiPriority w:val="99"/>
    <w:semiHidden/>
    <w:unhideWhenUsed/>
    <w:rsid w:val="00445B96"/>
    <w:pPr>
      <w:spacing w:line="240" w:lineRule="auto"/>
    </w:pPr>
    <w:rPr>
      <w:sz w:val="20"/>
      <w:szCs w:val="20"/>
    </w:rPr>
  </w:style>
  <w:style w:type="character" w:customStyle="1" w:styleId="CommentTextChar">
    <w:name w:val="Comment Text Char"/>
    <w:basedOn w:val="DefaultParagraphFont"/>
    <w:link w:val="CommentText"/>
    <w:uiPriority w:val="99"/>
    <w:semiHidden/>
    <w:rsid w:val="00445B96"/>
    <w:rPr>
      <w:sz w:val="20"/>
      <w:szCs w:val="20"/>
    </w:rPr>
  </w:style>
  <w:style w:type="paragraph" w:styleId="Title">
    <w:name w:val="Title"/>
    <w:basedOn w:val="Normal"/>
    <w:next w:val="Normal"/>
    <w:link w:val="TitleChar"/>
    <w:uiPriority w:val="10"/>
    <w:qFormat/>
    <w:rsid w:val="00E17BD4"/>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17BD4"/>
    <w:rPr>
      <w:rFonts w:eastAsiaTheme="majorEastAsia" w:cstheme="majorBidi"/>
      <w:b/>
      <w:spacing w:val="-10"/>
      <w:kern w:val="28"/>
      <w:sz w:val="36"/>
      <w:szCs w:val="56"/>
    </w:rPr>
  </w:style>
  <w:style w:type="paragraph" w:styleId="CommentSubject">
    <w:name w:val="annotation subject"/>
    <w:basedOn w:val="CommentText"/>
    <w:next w:val="CommentText"/>
    <w:link w:val="CommentSubjectChar"/>
    <w:uiPriority w:val="99"/>
    <w:semiHidden/>
    <w:unhideWhenUsed/>
    <w:rsid w:val="00460AB3"/>
    <w:rPr>
      <w:b/>
      <w:bCs/>
    </w:rPr>
  </w:style>
  <w:style w:type="character" w:customStyle="1" w:styleId="CommentSubjectChar">
    <w:name w:val="Comment Subject Char"/>
    <w:basedOn w:val="CommentTextChar"/>
    <w:link w:val="CommentSubject"/>
    <w:uiPriority w:val="99"/>
    <w:semiHidden/>
    <w:rsid w:val="00460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manage-records-when-decommissioning-business-syste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rmationstrategy.tas.gov.au/Records-Management-Principles/Document%20Library%20%20Tools/Advice%2018%20Managing%20Records%20in%20Business%20Systems%20-%20Overview.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O@act.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O@act.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A010-B9E6-4660-A36B-C37809C7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786</Words>
  <Characters>4500</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TerritoryRecordsOffice@act.gov.au</dc:creator>
  <cp:keywords/>
  <dc:description/>
  <cp:lastModifiedBy>Brown, Nic</cp:lastModifiedBy>
  <cp:revision>4</cp:revision>
  <cp:lastPrinted>2018-04-19T03:53:00Z</cp:lastPrinted>
  <dcterms:created xsi:type="dcterms:W3CDTF">2019-02-05T03:48:00Z</dcterms:created>
  <dcterms:modified xsi:type="dcterms:W3CDTF">2019-02-05T05:32:00Z</dcterms:modified>
</cp:coreProperties>
</file>