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623B" w14:textId="29D9E90A" w:rsidR="00E035D0" w:rsidRPr="00E035D0" w:rsidRDefault="007E72D6" w:rsidP="00E035D0">
      <w:pPr>
        <w:pStyle w:val="Heading1"/>
      </w:pPr>
      <w:r>
        <w:t xml:space="preserve"> </w:t>
      </w:r>
      <w:bookmarkStart w:id="0" w:name="_Hlk134539366"/>
      <w:r w:rsidR="00BB2881">
        <w:t>Overview of ‘</w:t>
      </w:r>
      <w:r w:rsidR="00A7228E">
        <w:t>Records by Design</w:t>
      </w:r>
      <w:r w:rsidR="00BB2881">
        <w:t>’</w:t>
      </w:r>
      <w:bookmarkEnd w:id="0"/>
    </w:p>
    <w:p w14:paraId="5D728999" w14:textId="14EAD1A0" w:rsidR="00A7228E" w:rsidRDefault="00A7228E" w:rsidP="00A7228E">
      <w:pPr>
        <w:autoSpaceDE/>
        <w:autoSpaceDN/>
        <w:adjustRightInd/>
        <w:spacing w:before="0" w:after="160" w:line="259" w:lineRule="auto"/>
        <w:rPr>
          <w:rFonts w:eastAsia="Calibri"/>
          <w:sz w:val="22"/>
          <w:szCs w:val="22"/>
        </w:rPr>
      </w:pPr>
      <w:bookmarkStart w:id="1" w:name="_Hlk129959644"/>
      <w:r>
        <w:rPr>
          <w:rFonts w:eastAsia="Calibri"/>
          <w:sz w:val="22"/>
          <w:szCs w:val="22"/>
        </w:rPr>
        <w:t xml:space="preserve">The ACT Government’s </w:t>
      </w:r>
      <w:r w:rsidRPr="00093FFC">
        <w:rPr>
          <w:rFonts w:eastAsia="Calibri"/>
          <w:i/>
          <w:iCs/>
          <w:sz w:val="22"/>
          <w:szCs w:val="22"/>
        </w:rPr>
        <w:t>Guiding Best Practice Design and Delivery</w:t>
      </w:r>
      <w:r w:rsidRPr="000F63BA">
        <w:rPr>
          <w:rFonts w:eastAsia="Calibri"/>
          <w:sz w:val="22"/>
          <w:szCs w:val="22"/>
        </w:rPr>
        <w:t xml:space="preserve">, commonly referred to as the Design Practice, is a </w:t>
      </w:r>
      <w:hyperlink r:id="rId8" w:history="1">
        <w:r w:rsidRPr="000F63BA">
          <w:rPr>
            <w:rStyle w:val="Hyperlink"/>
            <w:rFonts w:eastAsia="Calibri"/>
            <w:sz w:val="22"/>
            <w:szCs w:val="22"/>
          </w:rPr>
          <w:t>toolkit to assist staff</w:t>
        </w:r>
      </w:hyperlink>
      <w:r w:rsidRPr="000F63BA">
        <w:rPr>
          <w:rFonts w:eastAsia="Calibri"/>
          <w:sz w:val="22"/>
          <w:szCs w:val="22"/>
        </w:rPr>
        <w:t xml:space="preserve"> across </w:t>
      </w:r>
      <w:r w:rsidR="00BB2881">
        <w:rPr>
          <w:rFonts w:eastAsia="Calibri"/>
          <w:sz w:val="22"/>
          <w:szCs w:val="22"/>
        </w:rPr>
        <w:t xml:space="preserve">the </w:t>
      </w:r>
      <w:r w:rsidRPr="000F63BA">
        <w:rPr>
          <w:rFonts w:eastAsia="Calibri"/>
          <w:sz w:val="22"/>
          <w:szCs w:val="22"/>
        </w:rPr>
        <w:t>ACT Government build human centred products and services.</w:t>
      </w:r>
      <w:r>
        <w:rPr>
          <w:rFonts w:eastAsia="Calibri"/>
          <w:sz w:val="22"/>
          <w:szCs w:val="22"/>
        </w:rPr>
        <w:t xml:space="preserve"> Th</w:t>
      </w:r>
      <w:r w:rsidR="00BB2881">
        <w:rPr>
          <w:rFonts w:eastAsia="Calibri"/>
          <w:sz w:val="22"/>
          <w:szCs w:val="22"/>
        </w:rPr>
        <w:t>e</w:t>
      </w:r>
      <w:r>
        <w:rPr>
          <w:rFonts w:eastAsia="Calibri"/>
          <w:sz w:val="22"/>
          <w:szCs w:val="22"/>
        </w:rPr>
        <w:t xml:space="preserve"> process mandates the use of upfront analyses to ensure that security and privacy considerations are designed into business processes and the systems that support them. A similar approach needs to be taken to ensure that business systems are built to create and properly manage authoritative records of the activities they enable. </w:t>
      </w:r>
    </w:p>
    <w:p w14:paraId="7B9A087F" w14:textId="1A6BDFAF" w:rsidR="00A7228E" w:rsidRDefault="00A7228E" w:rsidP="00A7228E">
      <w:pPr>
        <w:autoSpaceDE/>
        <w:autoSpaceDN/>
        <w:adjustRightInd/>
        <w:spacing w:before="0" w:after="160" w:line="259" w:lineRule="auto"/>
        <w:rPr>
          <w:rFonts w:eastAsia="Calibri"/>
          <w:sz w:val="22"/>
          <w:szCs w:val="22"/>
        </w:rPr>
      </w:pPr>
      <w:r>
        <w:rPr>
          <w:rFonts w:eastAsia="Calibri"/>
          <w:sz w:val="22"/>
          <w:szCs w:val="22"/>
        </w:rPr>
        <w:t>The Territory Records Office refers to this as a ‘Records by Design’ approach. Undertaking such a recordkeeping analysis as part of the design process can help to ensure that the business can account for its actions, meet oversight and transparency obligations such as under the F</w:t>
      </w:r>
      <w:r w:rsidRPr="00093FFC">
        <w:rPr>
          <w:rFonts w:eastAsia="Calibri"/>
          <w:i/>
          <w:iCs/>
          <w:sz w:val="22"/>
          <w:szCs w:val="22"/>
        </w:rPr>
        <w:t>reedom of Information Act 2016</w:t>
      </w:r>
      <w:r>
        <w:rPr>
          <w:rFonts w:eastAsia="Calibri"/>
          <w:sz w:val="22"/>
          <w:szCs w:val="22"/>
        </w:rPr>
        <w:t xml:space="preserve">, and meet responsibilities under the </w:t>
      </w:r>
      <w:r w:rsidRPr="00093FFC">
        <w:rPr>
          <w:rFonts w:eastAsia="Calibri"/>
          <w:i/>
          <w:iCs/>
          <w:sz w:val="22"/>
          <w:szCs w:val="22"/>
        </w:rPr>
        <w:t>Territory Records Act 2002</w:t>
      </w:r>
      <w:r>
        <w:rPr>
          <w:rFonts w:eastAsia="Calibri"/>
          <w:sz w:val="22"/>
          <w:szCs w:val="22"/>
        </w:rPr>
        <w:t xml:space="preserve">. </w:t>
      </w:r>
    </w:p>
    <w:p w14:paraId="1F75C7AA" w14:textId="2198195A" w:rsidR="00A7228E" w:rsidRDefault="00A7228E" w:rsidP="00A7228E">
      <w:pPr>
        <w:autoSpaceDE/>
        <w:autoSpaceDN/>
        <w:adjustRightInd/>
        <w:spacing w:before="0" w:after="160" w:line="259" w:lineRule="auto"/>
        <w:rPr>
          <w:rFonts w:eastAsia="Calibri"/>
          <w:sz w:val="22"/>
          <w:szCs w:val="22"/>
        </w:rPr>
      </w:pPr>
      <w:r>
        <w:rPr>
          <w:rFonts w:eastAsia="Calibri"/>
          <w:sz w:val="22"/>
          <w:szCs w:val="22"/>
        </w:rPr>
        <w:t xml:space="preserve">One of the tools used in the ACT Government Design Practice is a </w:t>
      </w:r>
      <w:hyperlink r:id="rId9" w:history="1">
        <w:r w:rsidRPr="00395FA7">
          <w:rPr>
            <w:rStyle w:val="Hyperlink"/>
            <w:rFonts w:eastAsia="Calibri"/>
            <w:sz w:val="22"/>
            <w:szCs w:val="22"/>
          </w:rPr>
          <w:t>Journey Map</w:t>
        </w:r>
      </w:hyperlink>
      <w:r>
        <w:rPr>
          <w:rFonts w:eastAsia="Calibri"/>
          <w:sz w:val="22"/>
          <w:szCs w:val="22"/>
        </w:rPr>
        <w:t>, that describes the steps taken in a business process by customers and staff, including actions taken, information presented, and ‘pain points’ encountered throughout the process. These are read in conjunction with a similar ‘data journey’ map that describes the process steps and how resulting data is gathered and shared between information systems.</w:t>
      </w:r>
    </w:p>
    <w:p w14:paraId="047992E9" w14:textId="00FEF177" w:rsidR="00A7228E" w:rsidRDefault="00A7228E" w:rsidP="00A7228E">
      <w:pPr>
        <w:autoSpaceDE/>
        <w:autoSpaceDN/>
        <w:adjustRightInd/>
        <w:spacing w:before="0" w:after="160" w:line="259" w:lineRule="auto"/>
        <w:rPr>
          <w:rFonts w:eastAsia="Calibri"/>
          <w:sz w:val="22"/>
          <w:szCs w:val="22"/>
        </w:rPr>
      </w:pPr>
      <w:r>
        <w:rPr>
          <w:rFonts w:eastAsia="Calibri"/>
          <w:sz w:val="22"/>
          <w:szCs w:val="22"/>
        </w:rPr>
        <w:t xml:space="preserve">A records journey for a process should be a hybrid of the user and data centric journeys. It will describe the interactions and inputs of customers and staff throughout the process and any information gathered. It will also allow us to identify legislation and other requirements governing the business process </w:t>
      </w:r>
      <w:proofErr w:type="gramStart"/>
      <w:r>
        <w:rPr>
          <w:rFonts w:eastAsia="Calibri"/>
          <w:sz w:val="22"/>
          <w:szCs w:val="22"/>
        </w:rPr>
        <w:t>information, and</w:t>
      </w:r>
      <w:proofErr w:type="gramEnd"/>
      <w:r>
        <w:rPr>
          <w:rFonts w:eastAsia="Calibri"/>
          <w:sz w:val="22"/>
          <w:szCs w:val="22"/>
        </w:rPr>
        <w:t xml:space="preserve"> points that authorisations and sub processes such as the establishment of identity should occur.</w:t>
      </w:r>
      <w:r w:rsidR="00BB2881">
        <w:rPr>
          <w:rFonts w:eastAsia="Calibri"/>
          <w:sz w:val="22"/>
          <w:szCs w:val="22"/>
        </w:rPr>
        <w:t xml:space="preserve"> Like the User and Data Journey maps, a </w:t>
      </w:r>
      <w:proofErr w:type="gramStart"/>
      <w:r w:rsidR="00BB2881">
        <w:rPr>
          <w:rFonts w:eastAsia="Calibri"/>
          <w:sz w:val="22"/>
          <w:szCs w:val="22"/>
        </w:rPr>
        <w:t>Records</w:t>
      </w:r>
      <w:proofErr w:type="gramEnd"/>
      <w:r w:rsidR="00BB2881">
        <w:rPr>
          <w:rFonts w:eastAsia="Calibri"/>
          <w:sz w:val="22"/>
          <w:szCs w:val="22"/>
        </w:rPr>
        <w:t xml:space="preserve"> Journey map should form part of the specification of design requirements for the business system under development.</w:t>
      </w:r>
    </w:p>
    <w:bookmarkEnd w:id="1"/>
    <w:p w14:paraId="4FBCF1B1" w14:textId="2CA50B96" w:rsidR="00A7228E" w:rsidRPr="00093FFC" w:rsidRDefault="00A7228E" w:rsidP="00093FFC">
      <w:pPr>
        <w:pStyle w:val="Heading3"/>
        <w:spacing w:after="240"/>
        <w:rPr>
          <w:rFonts w:eastAsiaTheme="majorEastAsia"/>
        </w:rPr>
      </w:pPr>
      <w:r w:rsidRPr="00093FFC">
        <w:rPr>
          <w:rFonts w:eastAsiaTheme="majorEastAsia"/>
        </w:rPr>
        <w:t>Work process analysis for records</w:t>
      </w:r>
    </w:p>
    <w:p w14:paraId="3E580068" w14:textId="20C285CE" w:rsidR="00C12D7F" w:rsidRPr="00093FFC" w:rsidDel="00C12D7F" w:rsidRDefault="00A7228E" w:rsidP="00CA4543">
      <w:pPr>
        <w:autoSpaceDE/>
        <w:autoSpaceDN/>
        <w:adjustRightInd/>
        <w:spacing w:before="0" w:after="160" w:line="259" w:lineRule="auto"/>
        <w:rPr>
          <w:rFonts w:eastAsia="Calibri"/>
        </w:rPr>
      </w:pPr>
      <w:r>
        <w:rPr>
          <w:rFonts w:eastAsia="Calibri"/>
          <w:sz w:val="22"/>
          <w:szCs w:val="22"/>
        </w:rPr>
        <w:t xml:space="preserve">The International Standard on Work Process Analysis for </w:t>
      </w:r>
      <w:r w:rsidR="00150C1E">
        <w:rPr>
          <w:rFonts w:eastAsia="Calibri"/>
          <w:sz w:val="22"/>
          <w:szCs w:val="22"/>
        </w:rPr>
        <w:t>Records</w:t>
      </w:r>
      <w:r>
        <w:rPr>
          <w:rFonts w:eastAsia="Calibri"/>
          <w:sz w:val="22"/>
          <w:szCs w:val="22"/>
        </w:rPr>
        <w:t xml:space="preserve">, </w:t>
      </w:r>
      <w:r w:rsidRPr="00C12D7F">
        <w:rPr>
          <w:rFonts w:eastAsiaTheme="majorEastAsia"/>
        </w:rPr>
        <w:t>ISO/TR 26122:20</w:t>
      </w:r>
      <w:r w:rsidR="00D706AE">
        <w:rPr>
          <w:rFonts w:eastAsiaTheme="majorEastAsia"/>
        </w:rPr>
        <w:t>12</w:t>
      </w:r>
      <w:r>
        <w:rPr>
          <w:rFonts w:eastAsiaTheme="majorEastAsia"/>
        </w:rPr>
        <w:t xml:space="preserve">, </w:t>
      </w:r>
      <w:r w:rsidR="00CA4543">
        <w:rPr>
          <w:rFonts w:eastAsiaTheme="majorEastAsia"/>
        </w:rPr>
        <w:t xml:space="preserve">sets out </w:t>
      </w:r>
      <w:r w:rsidR="00C12D7F" w:rsidRPr="00093FFC">
        <w:rPr>
          <w:rFonts w:eastAsia="Calibri"/>
          <w:sz w:val="22"/>
          <w:szCs w:val="22"/>
        </w:rPr>
        <w:t>a systematic approach to understanding and improving recordkeeping practices within an organi</w:t>
      </w:r>
      <w:r w:rsidR="00CA4543">
        <w:rPr>
          <w:rFonts w:eastAsia="Calibri"/>
          <w:sz w:val="22"/>
          <w:szCs w:val="22"/>
        </w:rPr>
        <w:t>s</w:t>
      </w:r>
      <w:r w:rsidR="00C12D7F" w:rsidRPr="00093FFC">
        <w:rPr>
          <w:rFonts w:eastAsia="Calibri"/>
          <w:sz w:val="22"/>
          <w:szCs w:val="22"/>
        </w:rPr>
        <w:t>ation.</w:t>
      </w:r>
      <w:r w:rsidR="00CA4543">
        <w:rPr>
          <w:rFonts w:eastAsia="Calibri"/>
          <w:sz w:val="22"/>
          <w:szCs w:val="22"/>
        </w:rPr>
        <w:t xml:space="preserve"> This process is helpful in enabling Records by </w:t>
      </w:r>
      <w:proofErr w:type="gramStart"/>
      <w:r w:rsidR="00CA4543">
        <w:rPr>
          <w:rFonts w:eastAsia="Calibri"/>
          <w:sz w:val="22"/>
          <w:szCs w:val="22"/>
        </w:rPr>
        <w:t>Design, and</w:t>
      </w:r>
      <w:proofErr w:type="gramEnd"/>
      <w:r w:rsidR="00CA4543">
        <w:rPr>
          <w:rFonts w:eastAsia="Calibri"/>
          <w:sz w:val="22"/>
          <w:szCs w:val="22"/>
        </w:rPr>
        <w:t xml:space="preserve"> can help organisations to</w:t>
      </w:r>
      <w:r w:rsidR="00CA4543">
        <w:rPr>
          <w:rFonts w:eastAsiaTheme="majorEastAsia"/>
        </w:rPr>
        <w:t xml:space="preserve"> </w:t>
      </w:r>
      <w:r w:rsidR="00C12D7F" w:rsidRPr="00C12D7F">
        <w:rPr>
          <w:rFonts w:eastAsiaTheme="majorEastAsia"/>
        </w:rPr>
        <w:t xml:space="preserve">identify and address </w:t>
      </w:r>
      <w:r w:rsidR="00CA4543">
        <w:rPr>
          <w:rFonts w:eastAsiaTheme="majorEastAsia"/>
        </w:rPr>
        <w:t>essential recordkeeping needs</w:t>
      </w:r>
      <w:r w:rsidR="00C12D7F" w:rsidRPr="00C12D7F">
        <w:rPr>
          <w:rFonts w:eastAsiaTheme="majorEastAsia"/>
        </w:rPr>
        <w:t xml:space="preserve">, leading to more efficient and effective </w:t>
      </w:r>
      <w:r w:rsidR="00CA4543">
        <w:rPr>
          <w:rFonts w:eastAsiaTheme="majorEastAsia"/>
        </w:rPr>
        <w:t>business processes</w:t>
      </w:r>
      <w:r w:rsidR="00C12D7F" w:rsidRPr="00C12D7F">
        <w:rPr>
          <w:rFonts w:eastAsiaTheme="majorEastAsia"/>
        </w:rPr>
        <w:t xml:space="preserve"> and improved compliance with legal and regulatory requirements.</w:t>
      </w:r>
    </w:p>
    <w:p w14:paraId="70897F27" w14:textId="7E9300CB" w:rsidR="00C12D7F" w:rsidRPr="00C12D7F" w:rsidRDefault="00CA4543" w:rsidP="00093FFC">
      <w:pPr>
        <w:pStyle w:val="Heading3"/>
        <w:spacing w:after="240"/>
        <w:rPr>
          <w:rFonts w:eastAsiaTheme="majorEastAsia"/>
        </w:rPr>
      </w:pPr>
      <w:r>
        <w:rPr>
          <w:rFonts w:eastAsiaTheme="majorEastAsia"/>
        </w:rPr>
        <w:t>Approaches</w:t>
      </w:r>
      <w:r w:rsidR="00DC2A90">
        <w:rPr>
          <w:rFonts w:eastAsiaTheme="majorEastAsia"/>
        </w:rPr>
        <w:t xml:space="preserve"> </w:t>
      </w:r>
      <w:r>
        <w:rPr>
          <w:rFonts w:eastAsiaTheme="majorEastAsia"/>
        </w:rPr>
        <w:t>to</w:t>
      </w:r>
      <w:r w:rsidR="00DC2A90">
        <w:rPr>
          <w:rFonts w:eastAsiaTheme="majorEastAsia"/>
        </w:rPr>
        <w:t xml:space="preserve"> work process </w:t>
      </w:r>
      <w:proofErr w:type="gramStart"/>
      <w:r w:rsidR="00DC2A90">
        <w:rPr>
          <w:rFonts w:eastAsiaTheme="majorEastAsia"/>
        </w:rPr>
        <w:t>analysis</w:t>
      </w:r>
      <w:proofErr w:type="gramEnd"/>
    </w:p>
    <w:p w14:paraId="2AE5B388" w14:textId="55C621B4" w:rsidR="002E7B6B" w:rsidRPr="00C12D7F" w:rsidRDefault="002E7B6B" w:rsidP="002E7B6B">
      <w:pPr>
        <w:autoSpaceDE/>
        <w:autoSpaceDN/>
        <w:adjustRightInd/>
        <w:spacing w:before="0" w:after="160" w:line="259" w:lineRule="auto"/>
        <w:rPr>
          <w:rFonts w:eastAsiaTheme="majorEastAsia"/>
        </w:rPr>
      </w:pPr>
      <w:r w:rsidRPr="002C6207">
        <w:rPr>
          <w:rFonts w:eastAsia="Calibri"/>
        </w:rPr>
        <w:t>The international standard</w:t>
      </w:r>
      <w:r w:rsidR="00BB2881">
        <w:rPr>
          <w:rFonts w:eastAsia="Calibri"/>
        </w:rPr>
        <w:t xml:space="preserve"> </w:t>
      </w:r>
      <w:r w:rsidRPr="002C6207">
        <w:rPr>
          <w:rFonts w:eastAsia="Calibri"/>
        </w:rPr>
        <w:t xml:space="preserve">describes a methodology for the analysis of business processes to best capture records of those activities. It is intended to be employed to gather information about the transactions, </w:t>
      </w:r>
      <w:proofErr w:type="gramStart"/>
      <w:r w:rsidRPr="002C6207">
        <w:rPr>
          <w:rFonts w:eastAsia="Calibri"/>
        </w:rPr>
        <w:t>processes</w:t>
      </w:r>
      <w:proofErr w:type="gramEnd"/>
      <w:r w:rsidRPr="002C6207">
        <w:rPr>
          <w:rFonts w:eastAsia="Calibri"/>
        </w:rPr>
        <w:t xml:space="preserve"> and functions of an entity to identify the fundamental requirements for records creation, capture and control</w:t>
      </w:r>
      <w:r w:rsidR="00CA4543">
        <w:rPr>
          <w:rFonts w:eastAsia="Calibri"/>
        </w:rPr>
        <w:t>.</w:t>
      </w:r>
    </w:p>
    <w:p w14:paraId="23AC4988" w14:textId="77777777" w:rsidR="008603D4" w:rsidRDefault="008603D4" w:rsidP="002E7B6B">
      <w:pPr>
        <w:rPr>
          <w:rFonts w:eastAsiaTheme="majorEastAsia"/>
        </w:rPr>
      </w:pPr>
    </w:p>
    <w:p w14:paraId="0A9D218B" w14:textId="77777777" w:rsidR="008603D4" w:rsidRDefault="008603D4" w:rsidP="002E7B6B">
      <w:pPr>
        <w:rPr>
          <w:rFonts w:eastAsiaTheme="majorEastAsia"/>
        </w:rPr>
      </w:pPr>
    </w:p>
    <w:p w14:paraId="49252ADE" w14:textId="238D9BC2" w:rsidR="002E7B6B" w:rsidRPr="00C12D7F" w:rsidRDefault="002E7B6B" w:rsidP="002E7B6B">
      <w:pPr>
        <w:rPr>
          <w:rFonts w:eastAsiaTheme="majorEastAsia"/>
        </w:rPr>
      </w:pPr>
      <w:r w:rsidRPr="00C12D7F">
        <w:rPr>
          <w:rFonts w:eastAsiaTheme="majorEastAsia"/>
        </w:rPr>
        <w:lastRenderedPageBreak/>
        <w:t>ISO/TR 26122:20</w:t>
      </w:r>
      <w:r w:rsidR="00D706AE">
        <w:rPr>
          <w:rFonts w:eastAsiaTheme="majorEastAsia"/>
        </w:rPr>
        <w:t>12</w:t>
      </w:r>
      <w:r w:rsidRPr="00C12D7F">
        <w:rPr>
          <w:rFonts w:eastAsiaTheme="majorEastAsia"/>
        </w:rPr>
        <w:t xml:space="preserve"> identifies two types of analyses:</w:t>
      </w:r>
    </w:p>
    <w:p w14:paraId="31EA64E9" w14:textId="77777777" w:rsidR="002E7B6B" w:rsidRPr="00C12D7F" w:rsidRDefault="002E7B6B" w:rsidP="002E7B6B">
      <w:pPr>
        <w:pStyle w:val="ListParagraph"/>
        <w:numPr>
          <w:ilvl w:val="0"/>
          <w:numId w:val="13"/>
        </w:numPr>
        <w:rPr>
          <w:rFonts w:eastAsiaTheme="majorEastAsia"/>
        </w:rPr>
      </w:pPr>
      <w:r w:rsidRPr="00C12D7F">
        <w:rPr>
          <w:rFonts w:eastAsiaTheme="majorEastAsia"/>
        </w:rPr>
        <w:t xml:space="preserve">functional analysis (Identification of constituent activities and work processes under identified functions), and </w:t>
      </w:r>
    </w:p>
    <w:p w14:paraId="082E0575" w14:textId="77777777" w:rsidR="002E7B6B" w:rsidRPr="00C12D7F" w:rsidRDefault="002E7B6B" w:rsidP="002E7B6B">
      <w:pPr>
        <w:pStyle w:val="ListParagraph"/>
        <w:numPr>
          <w:ilvl w:val="0"/>
          <w:numId w:val="13"/>
        </w:numPr>
        <w:rPr>
          <w:rFonts w:eastAsiaTheme="majorEastAsia"/>
        </w:rPr>
      </w:pPr>
      <w:r w:rsidRPr="00C12D7F">
        <w:rPr>
          <w:rFonts w:eastAsiaTheme="majorEastAsia"/>
        </w:rPr>
        <w:t xml:space="preserve">sequential analysis (investigation of the flow of transactions within work processes). </w:t>
      </w:r>
    </w:p>
    <w:p w14:paraId="754089EA" w14:textId="2D07D686" w:rsidR="002E7B6B" w:rsidRPr="002E7B6B" w:rsidRDefault="002E7B6B" w:rsidP="00093FFC">
      <w:pPr>
        <w:rPr>
          <w:rFonts w:eastAsiaTheme="majorEastAsia"/>
        </w:rPr>
      </w:pPr>
      <w:r w:rsidRPr="00C12D7F">
        <w:t>Each a</w:t>
      </w:r>
      <w:r w:rsidR="006C5DFC">
        <w:t>pproach</w:t>
      </w:r>
      <w:r w:rsidRPr="00C12D7F">
        <w:t xml:space="preserve"> </w:t>
      </w:r>
      <w:r w:rsidR="006C5DFC">
        <w:t>begins with</w:t>
      </w:r>
      <w:r w:rsidRPr="00C12D7F">
        <w:t xml:space="preserve"> a preliminary review of context (</w:t>
      </w:r>
      <w:proofErr w:type="gramStart"/>
      <w:r w:rsidRPr="00C12D7F">
        <w:t>i.e.</w:t>
      </w:r>
      <w:proofErr w:type="gramEnd"/>
      <w:r w:rsidRPr="00C12D7F">
        <w:t xml:space="preserve"> mandate and regulatory environment) appropriate for the analysis</w:t>
      </w:r>
      <w:r w:rsidR="006C5DFC">
        <w:t xml:space="preserve"> output</w:t>
      </w:r>
      <w:r w:rsidRPr="00C12D7F">
        <w:t>.</w:t>
      </w:r>
      <w:r w:rsidR="00CA4543">
        <w:t xml:space="preserve"> These methodologies are</w:t>
      </w:r>
      <w:r w:rsidR="00CA4543" w:rsidRPr="00DC2A90">
        <w:t xml:space="preserve"> independent of technology (</w:t>
      </w:r>
      <w:proofErr w:type="gramStart"/>
      <w:r w:rsidR="00CA4543" w:rsidRPr="00DC2A90">
        <w:t>i.e.</w:t>
      </w:r>
      <w:proofErr w:type="gramEnd"/>
      <w:r w:rsidR="00CA4543" w:rsidRPr="00DC2A90">
        <w:t xml:space="preserve"> can be applied regardless of the </w:t>
      </w:r>
      <w:r w:rsidR="00CA4543">
        <w:t xml:space="preserve">business </w:t>
      </w:r>
      <w:r w:rsidR="00CA4543" w:rsidRPr="00DC2A90">
        <w:t>environment)</w:t>
      </w:r>
      <w:r w:rsidR="00CA4543">
        <w:t xml:space="preserve">, however they will be most useful </w:t>
      </w:r>
      <w:r w:rsidR="00CA4543" w:rsidRPr="00DC2A90">
        <w:t>assess</w:t>
      </w:r>
      <w:r w:rsidR="00CA4543">
        <w:t>ing</w:t>
      </w:r>
      <w:r w:rsidR="00CA4543" w:rsidRPr="00DC2A90">
        <w:t xml:space="preserve"> the </w:t>
      </w:r>
      <w:r w:rsidR="00CA4543">
        <w:t>capability and suitability</w:t>
      </w:r>
      <w:r w:rsidR="00CA4543" w:rsidRPr="00DC2A90">
        <w:t xml:space="preserve"> of </w:t>
      </w:r>
      <w:r w:rsidR="00CA4543">
        <w:t>business systems and</w:t>
      </w:r>
      <w:r w:rsidR="00CA4543" w:rsidRPr="00DC2A90">
        <w:t xml:space="preserve"> tools that support an organization's work processes.</w:t>
      </w:r>
    </w:p>
    <w:p w14:paraId="0ED76146" w14:textId="77777777" w:rsidR="006C5DFC" w:rsidRDefault="006C5DFC" w:rsidP="003B7AD6">
      <w:pPr>
        <w:pStyle w:val="Heading4"/>
        <w:rPr>
          <w:rFonts w:eastAsia="Calibri"/>
        </w:rPr>
      </w:pPr>
    </w:p>
    <w:p w14:paraId="0225A338" w14:textId="544199E0" w:rsidR="003B7AD6" w:rsidRDefault="003B7AD6" w:rsidP="00093FFC">
      <w:pPr>
        <w:pStyle w:val="Heading4"/>
        <w:rPr>
          <w:rFonts w:eastAsia="Calibri"/>
        </w:rPr>
      </w:pPr>
      <w:r w:rsidRPr="003B7AD6">
        <w:rPr>
          <w:rFonts w:eastAsia="Calibri"/>
        </w:rPr>
        <w:t>Sequential analysis</w:t>
      </w:r>
    </w:p>
    <w:p w14:paraId="61DC48A8" w14:textId="43AA4D4F" w:rsidR="00E035D0" w:rsidRDefault="00E035D0" w:rsidP="003B7AD6">
      <w:pPr>
        <w:autoSpaceDE/>
        <w:autoSpaceDN/>
        <w:adjustRightInd/>
        <w:spacing w:before="0" w:after="160" w:line="259" w:lineRule="auto"/>
        <w:contextualSpacing/>
        <w:rPr>
          <w:rFonts w:eastAsia="Calibri"/>
          <w:sz w:val="22"/>
          <w:szCs w:val="22"/>
        </w:rPr>
      </w:pPr>
      <w:bookmarkStart w:id="2" w:name="_Hlk129001244"/>
      <w:r w:rsidRPr="00E035D0">
        <w:rPr>
          <w:rFonts w:eastAsia="Calibri"/>
          <w:sz w:val="22"/>
          <w:szCs w:val="22"/>
        </w:rPr>
        <w:t xml:space="preserve">Sequential analysis </w:t>
      </w:r>
      <w:bookmarkEnd w:id="2"/>
      <w:r w:rsidR="00E36135">
        <w:rPr>
          <w:rFonts w:eastAsia="Calibri"/>
          <w:sz w:val="22"/>
          <w:szCs w:val="22"/>
        </w:rPr>
        <w:t xml:space="preserve">looks at business processes as the </w:t>
      </w:r>
      <w:r w:rsidRPr="00E035D0">
        <w:rPr>
          <w:rFonts w:eastAsia="Calibri"/>
          <w:sz w:val="22"/>
          <w:szCs w:val="22"/>
        </w:rPr>
        <w:t xml:space="preserve">transactional level. Its aim is to identify the constituent pieces of information that result in a complete and accurate record of business activities. </w:t>
      </w:r>
      <w:r w:rsidR="00910B98">
        <w:rPr>
          <w:rFonts w:eastAsia="Calibri"/>
          <w:sz w:val="22"/>
          <w:szCs w:val="22"/>
        </w:rPr>
        <w:t>This type of work process analysis</w:t>
      </w:r>
      <w:r w:rsidRPr="00E035D0">
        <w:rPr>
          <w:rFonts w:eastAsia="Calibri"/>
          <w:sz w:val="22"/>
          <w:szCs w:val="22"/>
        </w:rPr>
        <w:t xml:space="preserve"> </w:t>
      </w:r>
      <w:r w:rsidR="00910B98">
        <w:rPr>
          <w:rFonts w:eastAsia="Calibri"/>
          <w:sz w:val="22"/>
          <w:szCs w:val="22"/>
        </w:rPr>
        <w:t xml:space="preserve">is </w:t>
      </w:r>
      <w:r w:rsidRPr="00E035D0">
        <w:rPr>
          <w:rFonts w:eastAsia="Calibri"/>
          <w:sz w:val="22"/>
          <w:szCs w:val="22"/>
        </w:rPr>
        <w:t xml:space="preserve">particularly useful when </w:t>
      </w:r>
      <w:r w:rsidR="00E36135">
        <w:rPr>
          <w:rFonts w:eastAsia="Calibri"/>
          <w:sz w:val="22"/>
          <w:szCs w:val="22"/>
        </w:rPr>
        <w:t xml:space="preserve">designing new or </w:t>
      </w:r>
      <w:r w:rsidRPr="00E035D0">
        <w:rPr>
          <w:rFonts w:eastAsia="Calibri"/>
          <w:sz w:val="22"/>
          <w:szCs w:val="22"/>
        </w:rPr>
        <w:t xml:space="preserve">assessing </w:t>
      </w:r>
      <w:r w:rsidR="00E36135">
        <w:rPr>
          <w:rFonts w:eastAsia="Calibri"/>
          <w:sz w:val="22"/>
          <w:szCs w:val="22"/>
        </w:rPr>
        <w:t xml:space="preserve">existing </w:t>
      </w:r>
      <w:r w:rsidRPr="00E035D0">
        <w:rPr>
          <w:rFonts w:eastAsia="Calibri"/>
          <w:sz w:val="22"/>
          <w:szCs w:val="22"/>
        </w:rPr>
        <w:t xml:space="preserve">business information </w:t>
      </w:r>
      <w:proofErr w:type="gramStart"/>
      <w:r w:rsidRPr="00E035D0">
        <w:rPr>
          <w:rFonts w:eastAsia="Calibri"/>
          <w:sz w:val="22"/>
          <w:szCs w:val="22"/>
        </w:rPr>
        <w:t>systems, and</w:t>
      </w:r>
      <w:proofErr w:type="gramEnd"/>
      <w:r w:rsidRPr="00E035D0">
        <w:rPr>
          <w:rFonts w:eastAsia="Calibri"/>
          <w:sz w:val="22"/>
          <w:szCs w:val="22"/>
        </w:rPr>
        <w:t xml:space="preserve"> can support processes like exporting records for long term/permanent retention.</w:t>
      </w:r>
      <w:r w:rsidR="00E36135">
        <w:rPr>
          <w:rFonts w:eastAsia="Calibri"/>
          <w:sz w:val="22"/>
          <w:szCs w:val="22"/>
        </w:rPr>
        <w:t xml:space="preserve"> </w:t>
      </w:r>
    </w:p>
    <w:p w14:paraId="03D87265" w14:textId="2DE0ED67" w:rsidR="003B7AD6" w:rsidRDefault="003B7AD6" w:rsidP="003B7AD6">
      <w:pPr>
        <w:autoSpaceDE/>
        <w:autoSpaceDN/>
        <w:adjustRightInd/>
        <w:spacing w:before="0" w:after="160" w:line="259" w:lineRule="auto"/>
        <w:contextualSpacing/>
        <w:rPr>
          <w:rFonts w:eastAsia="Calibri"/>
          <w:sz w:val="22"/>
          <w:szCs w:val="22"/>
        </w:rPr>
      </w:pPr>
    </w:p>
    <w:p w14:paraId="29005CDD" w14:textId="6F18D295" w:rsidR="003B7AD6" w:rsidRPr="00E035D0" w:rsidRDefault="003B7AD6" w:rsidP="00093FFC">
      <w:pPr>
        <w:autoSpaceDE/>
        <w:autoSpaceDN/>
        <w:adjustRightInd/>
        <w:spacing w:before="0" w:after="160" w:line="259" w:lineRule="auto"/>
        <w:contextualSpacing/>
        <w:rPr>
          <w:rFonts w:eastAsia="Calibri"/>
          <w:sz w:val="22"/>
          <w:szCs w:val="22"/>
        </w:rPr>
      </w:pPr>
      <w:r>
        <w:t>Sequential analysis can be scaled to analyse processes across a whole organi</w:t>
      </w:r>
      <w:r w:rsidR="00E36135">
        <w:t>s</w:t>
      </w:r>
      <w:r>
        <w:t>ation</w:t>
      </w:r>
      <w:r w:rsidR="00E36135">
        <w:t xml:space="preserve"> or</w:t>
      </w:r>
      <w:r>
        <w:t xml:space="preserve"> across one or more organi</w:t>
      </w:r>
      <w:r w:rsidR="00E36135">
        <w:t>s</w:t>
      </w:r>
      <w:r>
        <w:t>ations</w:t>
      </w:r>
      <w:r w:rsidR="00E36135">
        <w:t>. W</w:t>
      </w:r>
      <w:r>
        <w:t>ithin the context of the ACT Government, it is more likely to be applied at the division or business unit level.</w:t>
      </w:r>
      <w:r>
        <w:rPr>
          <w:rFonts w:eastAsia="Calibri"/>
          <w:sz w:val="22"/>
          <w:szCs w:val="22"/>
        </w:rPr>
        <w:t xml:space="preserve"> </w:t>
      </w:r>
      <w:r w:rsidRPr="003B7AD6">
        <w:rPr>
          <w:rFonts w:eastAsia="Calibri"/>
          <w:sz w:val="22"/>
          <w:szCs w:val="22"/>
        </w:rPr>
        <w:t>It can be used to analyse an aggregate of processes, the transactions which make up a single process, or a single transaction down to the keystrokes, depending on the purpose of the analysis</w:t>
      </w:r>
      <w:r w:rsidR="00E36135">
        <w:rPr>
          <w:rFonts w:eastAsia="Calibri"/>
          <w:sz w:val="22"/>
          <w:szCs w:val="22"/>
        </w:rPr>
        <w:t>.</w:t>
      </w:r>
    </w:p>
    <w:p w14:paraId="5ADC4DE4" w14:textId="77777777" w:rsidR="00E035D0" w:rsidRPr="00E035D0" w:rsidRDefault="00E035D0" w:rsidP="00E035D0">
      <w:pPr>
        <w:autoSpaceDE/>
        <w:autoSpaceDN/>
        <w:adjustRightInd/>
        <w:spacing w:before="0" w:after="160" w:line="259" w:lineRule="auto"/>
        <w:ind w:left="720"/>
        <w:contextualSpacing/>
        <w:rPr>
          <w:rFonts w:eastAsia="Calibri"/>
          <w:sz w:val="22"/>
          <w:szCs w:val="22"/>
        </w:rPr>
      </w:pPr>
    </w:p>
    <w:p w14:paraId="50A4FD24" w14:textId="05A731B4" w:rsidR="00E035D0" w:rsidRDefault="00E035D0" w:rsidP="003B7AD6">
      <w:pPr>
        <w:autoSpaceDE/>
        <w:autoSpaceDN/>
        <w:adjustRightInd/>
        <w:spacing w:after="160" w:line="259" w:lineRule="auto"/>
        <w:contextualSpacing/>
        <w:rPr>
          <w:rFonts w:eastAsia="Calibri"/>
          <w:sz w:val="22"/>
          <w:szCs w:val="22"/>
        </w:rPr>
      </w:pPr>
      <w:r w:rsidRPr="00E035D0">
        <w:rPr>
          <w:rFonts w:eastAsia="Calibri"/>
          <w:sz w:val="22"/>
          <w:szCs w:val="22"/>
        </w:rPr>
        <w:t xml:space="preserve">Sequential analysis </w:t>
      </w:r>
      <w:r w:rsidR="00E36135">
        <w:rPr>
          <w:rFonts w:eastAsia="Calibri"/>
          <w:sz w:val="22"/>
          <w:szCs w:val="22"/>
        </w:rPr>
        <w:t xml:space="preserve">can inform decisions about how evidence of individual transactions might be aggregated to capture key records of a process, how long records created within the system must be retained, which records may be considered duplicate or redundant, and what metadata schemas are required to </w:t>
      </w:r>
      <w:r w:rsidR="00BB2881">
        <w:rPr>
          <w:rFonts w:eastAsia="Calibri"/>
          <w:sz w:val="22"/>
          <w:szCs w:val="22"/>
        </w:rPr>
        <w:t xml:space="preserve">manage and understand the records. </w:t>
      </w:r>
    </w:p>
    <w:p w14:paraId="3AC43490" w14:textId="450D8106" w:rsidR="00BB2881" w:rsidRDefault="00BB2881" w:rsidP="003B7AD6">
      <w:pPr>
        <w:autoSpaceDE/>
        <w:autoSpaceDN/>
        <w:adjustRightInd/>
        <w:spacing w:after="160" w:line="259" w:lineRule="auto"/>
        <w:contextualSpacing/>
        <w:rPr>
          <w:rFonts w:eastAsia="Calibri"/>
          <w:sz w:val="22"/>
          <w:szCs w:val="22"/>
        </w:rPr>
      </w:pPr>
    </w:p>
    <w:p w14:paraId="321B90A8" w14:textId="766A756F" w:rsidR="00BB2881" w:rsidRDefault="00BB2881" w:rsidP="003B7AD6">
      <w:pPr>
        <w:autoSpaceDE/>
        <w:autoSpaceDN/>
        <w:adjustRightInd/>
        <w:spacing w:after="160" w:line="259" w:lineRule="auto"/>
        <w:contextualSpacing/>
        <w:rPr>
          <w:rFonts w:eastAsia="Calibri"/>
          <w:sz w:val="22"/>
          <w:szCs w:val="22"/>
        </w:rPr>
      </w:pPr>
      <w:r>
        <w:rPr>
          <w:rFonts w:eastAsia="Calibri"/>
          <w:sz w:val="22"/>
          <w:szCs w:val="22"/>
        </w:rPr>
        <w:t xml:space="preserve">The key output of a sequential analysis should be a Records Journey Map or similar product that can form part of the design specifications for the business system under development. </w:t>
      </w:r>
    </w:p>
    <w:p w14:paraId="48E0D5F1" w14:textId="409A13A3" w:rsidR="004C2A0F" w:rsidRDefault="004C2A0F">
      <w:pPr>
        <w:autoSpaceDE/>
        <w:autoSpaceDN/>
        <w:adjustRightInd/>
        <w:spacing w:after="160" w:line="259" w:lineRule="auto"/>
        <w:contextualSpacing/>
        <w:rPr>
          <w:rFonts w:eastAsia="Calibri"/>
          <w:sz w:val="22"/>
          <w:szCs w:val="22"/>
        </w:rPr>
      </w:pPr>
    </w:p>
    <w:p w14:paraId="16F5553D" w14:textId="77777777" w:rsidR="00E36135" w:rsidRPr="00E035D0" w:rsidRDefault="00E36135" w:rsidP="00E36135">
      <w:pPr>
        <w:pStyle w:val="Heading4"/>
        <w:rPr>
          <w:rFonts w:eastAsia="Calibri"/>
        </w:rPr>
      </w:pPr>
      <w:r>
        <w:rPr>
          <w:rFonts w:eastAsia="Calibri"/>
        </w:rPr>
        <w:t>Functional analysis</w:t>
      </w:r>
    </w:p>
    <w:p w14:paraId="5CD3B2B7" w14:textId="3F91F726" w:rsidR="00E36135" w:rsidRPr="003B7AD6" w:rsidRDefault="00E36135" w:rsidP="00E36135">
      <w:pPr>
        <w:autoSpaceDE/>
        <w:autoSpaceDN/>
        <w:adjustRightInd/>
        <w:spacing w:before="0" w:line="259" w:lineRule="auto"/>
        <w:contextualSpacing/>
        <w:rPr>
          <w:rFonts w:eastAsia="Calibri"/>
          <w:sz w:val="22"/>
          <w:szCs w:val="22"/>
        </w:rPr>
      </w:pPr>
      <w:r w:rsidRPr="00E035D0">
        <w:rPr>
          <w:rFonts w:eastAsia="Calibri"/>
          <w:sz w:val="22"/>
          <w:szCs w:val="22"/>
        </w:rPr>
        <w:t xml:space="preserve">Functional </w:t>
      </w:r>
      <w:r>
        <w:rPr>
          <w:rFonts w:eastAsia="Calibri"/>
          <w:sz w:val="22"/>
          <w:szCs w:val="22"/>
        </w:rPr>
        <w:t xml:space="preserve">analysis is the </w:t>
      </w:r>
      <w:r w:rsidRPr="00E035D0">
        <w:rPr>
          <w:rFonts w:eastAsia="Calibri"/>
          <w:sz w:val="22"/>
          <w:szCs w:val="22"/>
        </w:rPr>
        <w:t>grouping together of all the processes undertaken to achieve a specific, strategic, goal of an entity</w:t>
      </w:r>
      <w:r w:rsidR="00BB2881">
        <w:rPr>
          <w:rFonts w:eastAsia="Calibri"/>
          <w:sz w:val="22"/>
          <w:szCs w:val="22"/>
        </w:rPr>
        <w:t xml:space="preserve">. Functional analysis </w:t>
      </w:r>
      <w:r w:rsidRPr="00E035D0">
        <w:rPr>
          <w:rFonts w:eastAsia="Calibri"/>
          <w:sz w:val="22"/>
          <w:szCs w:val="22"/>
        </w:rPr>
        <w:t xml:space="preserve">uncovers relationships between functions, processes and </w:t>
      </w:r>
      <w:r w:rsidRPr="003B7AD6">
        <w:rPr>
          <w:rFonts w:eastAsia="Calibri"/>
          <w:sz w:val="22"/>
          <w:szCs w:val="22"/>
        </w:rPr>
        <w:t>transactions which have implications for managing records.</w:t>
      </w:r>
    </w:p>
    <w:p w14:paraId="407C011B" w14:textId="77777777" w:rsidR="00E36135" w:rsidRDefault="00E36135" w:rsidP="00E36135">
      <w:pPr>
        <w:autoSpaceDE/>
        <w:autoSpaceDN/>
        <w:adjustRightInd/>
        <w:spacing w:after="160" w:line="259" w:lineRule="auto"/>
        <w:contextualSpacing/>
        <w:rPr>
          <w:sz w:val="22"/>
          <w:szCs w:val="22"/>
        </w:rPr>
      </w:pPr>
    </w:p>
    <w:p w14:paraId="70432E7D" w14:textId="764A6C96" w:rsidR="00E36135" w:rsidRPr="003B7AD6" w:rsidRDefault="00E36135" w:rsidP="00E36135">
      <w:pPr>
        <w:autoSpaceDE/>
        <w:autoSpaceDN/>
        <w:adjustRightInd/>
        <w:spacing w:before="0" w:line="259" w:lineRule="auto"/>
        <w:contextualSpacing/>
        <w:rPr>
          <w:rFonts w:eastAsia="Calibri"/>
          <w:sz w:val="22"/>
          <w:szCs w:val="22"/>
        </w:rPr>
      </w:pPr>
      <w:r w:rsidRPr="00972344">
        <w:rPr>
          <w:sz w:val="22"/>
          <w:szCs w:val="22"/>
        </w:rPr>
        <w:t>Functional analysis uses a top-down analytical method which begins with organi</w:t>
      </w:r>
      <w:r w:rsidR="00BB2881">
        <w:rPr>
          <w:sz w:val="22"/>
          <w:szCs w:val="22"/>
        </w:rPr>
        <w:t>s</w:t>
      </w:r>
      <w:r w:rsidRPr="00972344">
        <w:rPr>
          <w:sz w:val="22"/>
          <w:szCs w:val="22"/>
        </w:rPr>
        <w:t>ational goals and strategies and may descend to the analysis of transactions. It can be used across more than one organi</w:t>
      </w:r>
      <w:r w:rsidR="00BB2881">
        <w:rPr>
          <w:sz w:val="22"/>
          <w:szCs w:val="22"/>
        </w:rPr>
        <w:t>s</w:t>
      </w:r>
      <w:r w:rsidRPr="00972344">
        <w:rPr>
          <w:sz w:val="22"/>
          <w:szCs w:val="22"/>
        </w:rPr>
        <w:t>ation (within one or more jurisdictions), within one organi</w:t>
      </w:r>
      <w:r w:rsidR="00BB2881">
        <w:rPr>
          <w:sz w:val="22"/>
          <w:szCs w:val="22"/>
        </w:rPr>
        <w:t>s</w:t>
      </w:r>
      <w:r w:rsidRPr="00972344">
        <w:rPr>
          <w:sz w:val="22"/>
          <w:szCs w:val="22"/>
        </w:rPr>
        <w:t>ation, or one division of an organi</w:t>
      </w:r>
      <w:r w:rsidR="00BB2881">
        <w:rPr>
          <w:sz w:val="22"/>
          <w:szCs w:val="22"/>
        </w:rPr>
        <w:t>s</w:t>
      </w:r>
      <w:r w:rsidRPr="00972344">
        <w:rPr>
          <w:sz w:val="22"/>
          <w:szCs w:val="22"/>
        </w:rPr>
        <w:t>ation responsible for a function.</w:t>
      </w:r>
    </w:p>
    <w:p w14:paraId="5C5B6EC4" w14:textId="235CBC14" w:rsidR="00E36135" w:rsidRDefault="00E36135" w:rsidP="00E36135">
      <w:pPr>
        <w:autoSpaceDE/>
        <w:autoSpaceDN/>
        <w:adjustRightInd/>
        <w:spacing w:after="160" w:line="259" w:lineRule="auto"/>
        <w:rPr>
          <w:rFonts w:eastAsia="Calibri"/>
          <w:sz w:val="22"/>
          <w:szCs w:val="22"/>
        </w:rPr>
      </w:pPr>
      <w:r w:rsidRPr="003B7AD6">
        <w:rPr>
          <w:rFonts w:eastAsia="Calibri"/>
          <w:sz w:val="22"/>
          <w:szCs w:val="22"/>
        </w:rPr>
        <w:t>The functional approach will be familiar to records managers</w:t>
      </w:r>
      <w:r w:rsidRPr="00E035D0">
        <w:rPr>
          <w:rFonts w:eastAsia="Calibri"/>
          <w:sz w:val="22"/>
          <w:szCs w:val="22"/>
        </w:rPr>
        <w:t xml:space="preserve">. </w:t>
      </w:r>
      <w:r w:rsidR="00BB2881">
        <w:rPr>
          <w:rFonts w:eastAsia="Calibri"/>
          <w:sz w:val="22"/>
          <w:szCs w:val="22"/>
        </w:rPr>
        <w:t>It</w:t>
      </w:r>
      <w:r w:rsidRPr="00E035D0">
        <w:rPr>
          <w:rFonts w:eastAsia="Calibri"/>
          <w:sz w:val="22"/>
          <w:szCs w:val="22"/>
        </w:rPr>
        <w:t xml:space="preserve"> involves identifying high level business functions conducted by an entity, and the activities that support them. Any functions unique to an entity </w:t>
      </w:r>
      <w:r>
        <w:rPr>
          <w:rFonts w:eastAsia="Calibri"/>
          <w:sz w:val="22"/>
          <w:szCs w:val="22"/>
        </w:rPr>
        <w:t xml:space="preserve">(or a small group of entities carrying our similar functions) </w:t>
      </w:r>
      <w:r w:rsidRPr="00E035D0">
        <w:rPr>
          <w:rFonts w:eastAsia="Calibri"/>
          <w:sz w:val="22"/>
          <w:szCs w:val="22"/>
        </w:rPr>
        <w:t>should result in the creation of a business classification scheme (BCS) and an associated record disposal schedule (RDS).</w:t>
      </w:r>
    </w:p>
    <w:p w14:paraId="58D1CC32" w14:textId="7F219652" w:rsidR="00E74E0F" w:rsidRPr="00C12D7F" w:rsidRDefault="00E74E0F" w:rsidP="00E74E0F">
      <w:pPr>
        <w:pStyle w:val="Heading3"/>
        <w:spacing w:after="240"/>
        <w:rPr>
          <w:rFonts w:eastAsiaTheme="majorEastAsia"/>
        </w:rPr>
      </w:pPr>
      <w:r>
        <w:rPr>
          <w:rFonts w:eastAsiaTheme="majorEastAsia"/>
        </w:rPr>
        <w:lastRenderedPageBreak/>
        <w:t>Applying work process analyses</w:t>
      </w:r>
    </w:p>
    <w:p w14:paraId="71F01EEA" w14:textId="12B13B8F" w:rsidR="00E36135" w:rsidRDefault="00BB2881">
      <w:pPr>
        <w:autoSpaceDE/>
        <w:autoSpaceDN/>
        <w:adjustRightInd/>
        <w:spacing w:after="160" w:line="259" w:lineRule="auto"/>
        <w:contextualSpacing/>
        <w:rPr>
          <w:rFonts w:eastAsia="Calibri"/>
          <w:sz w:val="22"/>
          <w:szCs w:val="22"/>
        </w:rPr>
      </w:pPr>
      <w:r>
        <w:rPr>
          <w:rFonts w:eastAsia="Calibri"/>
          <w:sz w:val="22"/>
          <w:szCs w:val="22"/>
        </w:rPr>
        <w:t xml:space="preserve">Completing a functional </w:t>
      </w:r>
      <w:r w:rsidR="00DD2018">
        <w:rPr>
          <w:rFonts w:eastAsia="Calibri"/>
          <w:sz w:val="22"/>
          <w:szCs w:val="22"/>
        </w:rPr>
        <w:t xml:space="preserve">records </w:t>
      </w:r>
      <w:r>
        <w:rPr>
          <w:rFonts w:eastAsia="Calibri"/>
          <w:sz w:val="22"/>
          <w:szCs w:val="22"/>
        </w:rPr>
        <w:t xml:space="preserve">analysis </w:t>
      </w:r>
      <w:r w:rsidR="00E74E0F">
        <w:rPr>
          <w:rFonts w:eastAsia="Calibri"/>
          <w:sz w:val="22"/>
          <w:szCs w:val="22"/>
        </w:rPr>
        <w:t xml:space="preserve">to produce a Records Disposal Schedule will be important for activities that are new to government. Until the Territory Records Office has approved a Schedule that relates to the business process it will not be possible to delete data and records </w:t>
      </w:r>
      <w:r w:rsidR="00DD2018">
        <w:rPr>
          <w:rFonts w:eastAsia="Calibri"/>
          <w:sz w:val="22"/>
          <w:szCs w:val="22"/>
        </w:rPr>
        <w:t>or to retire the business system. The disposal of all ACT Government records is governed by Records Disposal Schedules authorised by the TRO. A functional analysis, leading to a new RDS, may also be important if the business process being documented has changed significantly, or if the existing RDS is more than five years old.</w:t>
      </w:r>
    </w:p>
    <w:p w14:paraId="5B5A1FC5" w14:textId="387DF64F" w:rsidR="00DD2018" w:rsidRDefault="00DD2018">
      <w:pPr>
        <w:autoSpaceDE/>
        <w:autoSpaceDN/>
        <w:adjustRightInd/>
        <w:spacing w:after="160" w:line="259" w:lineRule="auto"/>
        <w:contextualSpacing/>
        <w:rPr>
          <w:rFonts w:eastAsia="Calibri"/>
          <w:sz w:val="22"/>
          <w:szCs w:val="22"/>
        </w:rPr>
      </w:pPr>
    </w:p>
    <w:p w14:paraId="535EF630" w14:textId="0CB4593B" w:rsidR="00DD2018" w:rsidRDefault="00DD2018" w:rsidP="00093FFC">
      <w:pPr>
        <w:autoSpaceDE/>
        <w:autoSpaceDN/>
        <w:adjustRightInd/>
        <w:spacing w:after="160" w:line="259" w:lineRule="auto"/>
        <w:contextualSpacing/>
        <w:rPr>
          <w:rFonts w:eastAsia="Calibri"/>
          <w:sz w:val="22"/>
          <w:szCs w:val="22"/>
        </w:rPr>
      </w:pPr>
      <w:r>
        <w:rPr>
          <w:rFonts w:eastAsia="Calibri"/>
          <w:sz w:val="22"/>
          <w:szCs w:val="22"/>
        </w:rPr>
        <w:t xml:space="preserve">Similarly, completing a sequential records analysis will be important to ensure that existing recordkeeping requirements are built into new or altered business systems. Systems that are designed without a Records by Design analysis may not be able to support important accountability requirements or meet community expectations about transparency and the availability of records. Where a business system cannot support important recordkeeping requirements, particularly those relating to the capture, </w:t>
      </w:r>
      <w:proofErr w:type="gramStart"/>
      <w:r>
        <w:rPr>
          <w:rFonts w:eastAsia="Calibri"/>
          <w:sz w:val="22"/>
          <w:szCs w:val="22"/>
        </w:rPr>
        <w:t>preservation</w:t>
      </w:r>
      <w:proofErr w:type="gramEnd"/>
      <w:r>
        <w:rPr>
          <w:rFonts w:eastAsia="Calibri"/>
          <w:sz w:val="22"/>
          <w:szCs w:val="22"/>
        </w:rPr>
        <w:t xml:space="preserve"> and accountable disposal of records, it may be necessary to arrange potentially expensive integrations with specialist records management systems, or institute manual workarounds. </w:t>
      </w:r>
    </w:p>
    <w:p w14:paraId="04190B7E" w14:textId="77777777" w:rsidR="004C2A0F" w:rsidRPr="004C2A0F" w:rsidRDefault="004C2A0F" w:rsidP="00093FFC">
      <w:pPr>
        <w:rPr>
          <w:rFonts w:eastAsia="Calibri"/>
        </w:rPr>
      </w:pPr>
    </w:p>
    <w:p w14:paraId="693D867B" w14:textId="77777777" w:rsidR="006C5DFC" w:rsidRPr="00E035D0" w:rsidRDefault="006C5DFC" w:rsidP="006C5DFC">
      <w:pPr>
        <w:keepNext/>
        <w:keepLines/>
        <w:autoSpaceDE/>
        <w:autoSpaceDN/>
        <w:adjustRightInd/>
        <w:spacing w:line="259" w:lineRule="auto"/>
        <w:outlineLvl w:val="0"/>
        <w:rPr>
          <w:rFonts w:ascii="Calibri Light" w:hAnsi="Calibri Light"/>
          <w:color w:val="2F5496"/>
          <w:sz w:val="32"/>
          <w:szCs w:val="32"/>
        </w:rPr>
      </w:pPr>
      <w:r w:rsidRPr="00E035D0">
        <w:rPr>
          <w:rFonts w:ascii="Calibri Light" w:hAnsi="Calibri Light"/>
          <w:color w:val="2F5496"/>
          <w:sz w:val="32"/>
          <w:szCs w:val="32"/>
        </w:rPr>
        <w:t>References</w:t>
      </w:r>
    </w:p>
    <w:p w14:paraId="785D0714" w14:textId="43836392" w:rsidR="006C5DFC" w:rsidRPr="00E035D0" w:rsidRDefault="006C5DFC" w:rsidP="006C5DFC">
      <w:pPr>
        <w:autoSpaceDE/>
        <w:autoSpaceDN/>
        <w:adjustRightInd/>
        <w:spacing w:before="0" w:after="160" w:line="259" w:lineRule="auto"/>
        <w:rPr>
          <w:rFonts w:eastAsia="Calibri"/>
          <w:sz w:val="22"/>
          <w:szCs w:val="22"/>
        </w:rPr>
      </w:pPr>
      <w:r w:rsidRPr="00E035D0">
        <w:rPr>
          <w:rFonts w:eastAsia="Calibri"/>
          <w:sz w:val="22"/>
          <w:szCs w:val="22"/>
        </w:rPr>
        <w:t>ISO/TR 26122:20</w:t>
      </w:r>
      <w:r w:rsidR="00D706AE">
        <w:rPr>
          <w:rFonts w:eastAsia="Calibri"/>
          <w:sz w:val="22"/>
          <w:szCs w:val="22"/>
        </w:rPr>
        <w:t>12</w:t>
      </w:r>
      <w:r>
        <w:rPr>
          <w:rFonts w:eastAsia="Calibri"/>
          <w:sz w:val="22"/>
          <w:szCs w:val="22"/>
        </w:rPr>
        <w:t xml:space="preserve"> - </w:t>
      </w:r>
      <w:r w:rsidRPr="00E035D0">
        <w:t>Work process analysis for records</w:t>
      </w:r>
    </w:p>
    <w:p w14:paraId="0FDA4B85" w14:textId="77777777" w:rsidR="009A5237" w:rsidRDefault="009A5237" w:rsidP="00270929">
      <w:pPr>
        <w:rPr>
          <w:rFonts w:eastAsia="Calibri"/>
        </w:rPr>
      </w:pPr>
    </w:p>
    <w:p w14:paraId="5D28AF01" w14:textId="77777777" w:rsidR="009A5237" w:rsidRDefault="009A5237" w:rsidP="00270929">
      <w:pPr>
        <w:rPr>
          <w:rFonts w:eastAsia="Calibri"/>
        </w:rPr>
      </w:pPr>
    </w:p>
    <w:p w14:paraId="1F619BFE" w14:textId="77777777" w:rsidR="009A5237" w:rsidRDefault="009A5237" w:rsidP="00270929">
      <w:pPr>
        <w:rPr>
          <w:rFonts w:eastAsia="Calibri"/>
        </w:rPr>
      </w:pPr>
    </w:p>
    <w:p w14:paraId="5E4A99A9" w14:textId="77777777" w:rsidR="009A5237" w:rsidRDefault="009A5237" w:rsidP="00270929">
      <w:pPr>
        <w:rPr>
          <w:rFonts w:eastAsia="Calibri"/>
        </w:rPr>
      </w:pPr>
    </w:p>
    <w:p w14:paraId="684E2541" w14:textId="77777777" w:rsidR="009A5237" w:rsidRDefault="009A5237" w:rsidP="00270929">
      <w:pPr>
        <w:rPr>
          <w:rFonts w:eastAsia="Calibri"/>
        </w:rPr>
      </w:pPr>
    </w:p>
    <w:p w14:paraId="06952BDE" w14:textId="6EF5D736" w:rsidR="00270929" w:rsidRPr="00135572" w:rsidRDefault="00270929" w:rsidP="00270929">
      <w:pPr>
        <w:rPr>
          <w:sz w:val="22"/>
          <w:szCs w:val="22"/>
        </w:rPr>
      </w:pPr>
      <w:r w:rsidRPr="00135572">
        <w:rPr>
          <w:noProof/>
          <w:sz w:val="22"/>
          <w:szCs w:val="22"/>
        </w:rPr>
        <w:drawing>
          <wp:inline distT="0" distB="0" distL="0" distR="0" wp14:anchorId="3549C7C7" wp14:editId="6A81FA80">
            <wp:extent cx="1428750" cy="419100"/>
            <wp:effectExtent l="0" t="0" r="0" b="0"/>
            <wp:docPr id="3" name="Picture 3" descr="Creative commons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og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23C09C25" w14:textId="3C8661EE" w:rsidR="00270929" w:rsidRDefault="00270929" w:rsidP="00270929">
      <w:pPr>
        <w:rPr>
          <w:sz w:val="22"/>
          <w:szCs w:val="22"/>
        </w:rPr>
      </w:pPr>
      <w:r w:rsidRPr="00135572">
        <w:rPr>
          <w:sz w:val="22"/>
          <w:szCs w:val="22"/>
        </w:rPr>
        <w:t xml:space="preserve">The </w:t>
      </w:r>
      <w:r w:rsidR="00DE7945" w:rsidRPr="00DE7945">
        <w:rPr>
          <w:i/>
          <w:iCs/>
          <w:color w:val="000000" w:themeColor="text1"/>
          <w:sz w:val="22"/>
          <w:szCs w:val="22"/>
        </w:rPr>
        <w:t>Overview of ‘Records by Design’</w:t>
      </w:r>
      <w:r w:rsidR="005A0B59" w:rsidRPr="00DE7945">
        <w:rPr>
          <w:i/>
          <w:iCs/>
          <w:color w:val="000000" w:themeColor="text1"/>
          <w:sz w:val="22"/>
          <w:szCs w:val="22"/>
        </w:rPr>
        <w:t xml:space="preserve"> </w:t>
      </w:r>
      <w:r w:rsidR="005A0B59" w:rsidRPr="005A0B59">
        <w:rPr>
          <w:sz w:val="22"/>
          <w:szCs w:val="22"/>
        </w:rPr>
        <w:t>Records Advice</w:t>
      </w:r>
      <w:r w:rsidRPr="005A0B59">
        <w:rPr>
          <w:sz w:val="22"/>
          <w:szCs w:val="22"/>
        </w:rPr>
        <w:t xml:space="preserve"> </w:t>
      </w:r>
      <w:r w:rsidRPr="00135572">
        <w:rPr>
          <w:sz w:val="22"/>
          <w:szCs w:val="22"/>
        </w:rPr>
        <w:t xml:space="preserve">is licensed under </w:t>
      </w:r>
      <w:hyperlink r:id="rId12" w:history="1">
        <w:r w:rsidRPr="00135572">
          <w:rPr>
            <w:rStyle w:val="Hyperlink"/>
            <w:sz w:val="22"/>
            <w:szCs w:val="22"/>
          </w:rPr>
          <w:t>Creative Commons — Attribution 4.0 International — CC BY 4.0</w:t>
        </w:r>
      </w:hyperlink>
      <w:r w:rsidR="005A0B59">
        <w:rPr>
          <w:sz w:val="22"/>
          <w:szCs w:val="22"/>
        </w:rPr>
        <w:t>.</w:t>
      </w:r>
      <w:r w:rsidR="005A0B59" w:rsidRPr="005A0B59">
        <w:t xml:space="preserve"> </w:t>
      </w:r>
      <w:r w:rsidR="005A0B59" w:rsidRPr="005A0B59">
        <w:rPr>
          <w:sz w:val="22"/>
          <w:szCs w:val="22"/>
        </w:rPr>
        <w:t>You are free to re-use the work under that licence with attribution.</w:t>
      </w:r>
    </w:p>
    <w:p w14:paraId="2F330FA2" w14:textId="6D4085CF" w:rsidR="00135572" w:rsidRPr="00135572" w:rsidRDefault="00135572" w:rsidP="00135572">
      <w:pPr>
        <w:pStyle w:val="BodyText"/>
      </w:pPr>
      <w:r>
        <w:t xml:space="preserve">Please give attribution to: </w:t>
      </w:r>
      <w:r w:rsidRPr="00135572">
        <w:t>© Australian Capital Territory</w:t>
      </w:r>
      <w:r w:rsidR="00756C46">
        <w:t>,</w:t>
      </w:r>
      <w:r>
        <w:t xml:space="preserve"> </w:t>
      </w:r>
      <w:r w:rsidR="00DE7945">
        <w:rPr>
          <w:color w:val="000000" w:themeColor="text1"/>
        </w:rPr>
        <w:t>2023</w:t>
      </w:r>
    </w:p>
    <w:p w14:paraId="54EB8BAC" w14:textId="77777777" w:rsidR="00270929" w:rsidRPr="00135572" w:rsidRDefault="00270929" w:rsidP="00270929">
      <w:pPr>
        <w:pStyle w:val="BodyText"/>
      </w:pPr>
      <w:r w:rsidRPr="00135572">
        <w:t xml:space="preserve">The licence does not apply to the ACT Coat of Arms, the ACT Government logo and branding, images, artwork, </w:t>
      </w:r>
      <w:proofErr w:type="gramStart"/>
      <w:r w:rsidRPr="00135572">
        <w:t>photographs</w:t>
      </w:r>
      <w:proofErr w:type="gramEnd"/>
      <w:r w:rsidRPr="00135572">
        <w:t xml:space="preserve"> or any material protected by trademark.</w:t>
      </w:r>
    </w:p>
    <w:p w14:paraId="6B5A2CCF" w14:textId="77777777" w:rsidR="00270929" w:rsidRPr="00135572" w:rsidRDefault="00270929" w:rsidP="00E035D0">
      <w:pPr>
        <w:pStyle w:val="Heading1"/>
      </w:pPr>
      <w:r w:rsidRPr="00135572">
        <w:t xml:space="preserve">CONTACT US </w:t>
      </w:r>
    </w:p>
    <w:p w14:paraId="4CE2D673" w14:textId="401FD2EF" w:rsidR="005A5D01" w:rsidRPr="007B645D" w:rsidRDefault="00270929" w:rsidP="00093FFC">
      <w:pPr>
        <w:autoSpaceDE/>
        <w:autoSpaceDN/>
        <w:adjustRightInd/>
        <w:spacing w:before="0"/>
      </w:pPr>
      <w:r w:rsidRPr="00135572">
        <w:rPr>
          <w:sz w:val="22"/>
          <w:szCs w:val="22"/>
        </w:rPr>
        <w:t xml:space="preserve">Territory Records Office | </w:t>
      </w:r>
      <w:hyperlink r:id="rId13" w:history="1">
        <w:r w:rsidRPr="00135572">
          <w:rPr>
            <w:rFonts w:eastAsia="MS PGothic" w:cs="Calibri"/>
            <w:color w:val="0563C1"/>
            <w:sz w:val="22"/>
            <w:szCs w:val="22"/>
            <w:u w:val="single"/>
          </w:rPr>
          <w:t>www.territoryrecords.act.gov.au</w:t>
        </w:r>
      </w:hyperlink>
      <w:r w:rsidRPr="00135572">
        <w:rPr>
          <w:sz w:val="22"/>
          <w:szCs w:val="22"/>
        </w:rPr>
        <w:t xml:space="preserve">| </w:t>
      </w:r>
      <w:hyperlink r:id="rId14" w:history="1">
        <w:r w:rsidRPr="00135572">
          <w:rPr>
            <w:rFonts w:eastAsia="MS PGothic" w:cs="Calibri"/>
            <w:color w:val="0563C1"/>
            <w:sz w:val="22"/>
            <w:szCs w:val="22"/>
            <w:u w:val="single"/>
          </w:rPr>
          <w:t>TRO@act.gov.au</w:t>
        </w:r>
      </w:hyperlink>
    </w:p>
    <w:sectPr w:rsidR="005A5D01" w:rsidRPr="007B645D" w:rsidSect="00804EE8">
      <w:headerReference w:type="even" r:id="rId15"/>
      <w:headerReference w:type="default" r:id="rId16"/>
      <w:footerReference w:type="even" r:id="rId17"/>
      <w:footerReference w:type="default" r:id="rId18"/>
      <w:headerReference w:type="first" r:id="rId19"/>
      <w:footerReference w:type="first" r:id="rId20"/>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7A45" w14:textId="77777777" w:rsidR="00E035D0" w:rsidRDefault="00E035D0" w:rsidP="007C3780">
      <w:r>
        <w:separator/>
      </w:r>
    </w:p>
  </w:endnote>
  <w:endnote w:type="continuationSeparator" w:id="0">
    <w:p w14:paraId="669E56BC" w14:textId="77777777" w:rsidR="00E035D0" w:rsidRDefault="00E035D0"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350865"/>
      <w:docPartObj>
        <w:docPartGallery w:val="Page Numbers (Top of Page)"/>
        <w:docPartUnique/>
      </w:docPartObj>
    </w:sdtPr>
    <w:sdtEndPr>
      <w:rPr>
        <w:color w:val="FF0000"/>
      </w:rPr>
    </w:sdtEndPr>
    <w:sdtContent>
      <w:p w14:paraId="1C3AE2E9" w14:textId="14D1AFA2"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bookmarkStart w:id="3" w:name="_Hlk134533234"/>
        <w:r w:rsidR="00BA38E4">
          <w:rPr>
            <w:color w:val="000000" w:themeColor="text1"/>
            <w:sz w:val="20"/>
            <w:szCs w:val="20"/>
          </w:rPr>
          <w:t>09/05/2023</w:t>
        </w:r>
      </w:p>
    </w:sdtContent>
  </w:sdt>
  <w:bookmarkEnd w:id="3"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879194"/>
      <w:docPartObj>
        <w:docPartGallery w:val="Page Numbers (Top of Page)"/>
        <w:docPartUnique/>
      </w:docPartObj>
    </w:sdtPr>
    <w:sdtEndPr/>
    <w:sdtContent>
      <w:p w14:paraId="4F34BFEE" w14:textId="61FD71A0"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r w:rsidR="00BA38E4">
          <w:rPr>
            <w:color w:val="000000" w:themeColor="text1"/>
            <w:sz w:val="20"/>
            <w:szCs w:val="20"/>
          </w:rPr>
          <w:t>09/05/2023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74286"/>
      <w:docPartObj>
        <w:docPartGallery w:val="Page Numbers (Bottom of Page)"/>
        <w:docPartUnique/>
      </w:docPartObj>
    </w:sdtPr>
    <w:sdtEndPr/>
    <w:sdtContent>
      <w:sdt>
        <w:sdtPr>
          <w:id w:val="1728636285"/>
          <w:docPartObj>
            <w:docPartGallery w:val="Page Numbers (Top of Page)"/>
            <w:docPartUnique/>
          </w:docPartObj>
        </w:sdtPr>
        <w:sdtEndPr/>
        <w:sdtContent>
          <w:p w14:paraId="20074531" w14:textId="1DC111AC" w:rsidR="00270929" w:rsidRDefault="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270929">
              <w:rPr>
                <w:sz w:val="20"/>
                <w:szCs w:val="20"/>
              </w:rPr>
              <w:t xml:space="preserve"> </w:t>
            </w:r>
            <w:r>
              <w:rPr>
                <w:sz w:val="20"/>
                <w:szCs w:val="20"/>
              </w:rPr>
              <w:tab/>
              <w:t>Publication date:</w:t>
            </w:r>
            <w:r w:rsidR="00BA38E4">
              <w:rPr>
                <w:sz w:val="20"/>
                <w:szCs w:val="20"/>
              </w:rPr>
              <w:t xml:space="preserve"> </w:t>
            </w:r>
            <w:r w:rsidR="00BA38E4">
              <w:rPr>
                <w:color w:val="000000" w:themeColor="text1"/>
                <w:sz w:val="20"/>
                <w:szCs w:val="20"/>
              </w:rPr>
              <w:t>09/05/2023</w:t>
            </w:r>
          </w:p>
        </w:sdtContent>
      </w:sdt>
    </w:sdtContent>
  </w:sdt>
  <w:p w14:paraId="51F63407" w14:textId="77777777" w:rsidR="003D0E6C" w:rsidRPr="006C3AE4" w:rsidRDefault="003D0E6C" w:rsidP="00837932">
    <w:pPr>
      <w:autoSpaceDE/>
      <w:autoSpaceDN/>
      <w:adjustRightInd/>
      <w:spacing w:befor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FF35" w14:textId="77777777" w:rsidR="00E035D0" w:rsidRDefault="00E035D0" w:rsidP="007C3780">
      <w:r>
        <w:separator/>
      </w:r>
    </w:p>
  </w:footnote>
  <w:footnote w:type="continuationSeparator" w:id="0">
    <w:p w14:paraId="5139B863" w14:textId="77777777" w:rsidR="00E035D0" w:rsidRDefault="00E035D0"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9DB3" w14:textId="77777777" w:rsidR="00BA38E4" w:rsidRDefault="00BA3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7C8B" w14:textId="77777777" w:rsidR="00222472" w:rsidRDefault="00222472" w:rsidP="007C3780">
    <w:pPr>
      <w:pStyle w:val="Header"/>
    </w:pPr>
    <w:r>
      <w:tab/>
    </w:r>
  </w:p>
  <w:p w14:paraId="3319AF06" w14:textId="77777777" w:rsidR="00063054" w:rsidRDefault="00063054" w:rsidP="007C3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63BA" w14:textId="7402D1CB" w:rsidR="00105161" w:rsidRDefault="009A5237" w:rsidP="007C3780">
    <w:pPr>
      <w:pStyle w:val="Header"/>
    </w:pPr>
    <w:r>
      <w:rPr>
        <w:noProof/>
        <w:lang w:eastAsia="en-AU"/>
      </w:rPr>
      <w:drawing>
        <wp:anchor distT="0" distB="0" distL="114300" distR="114300" simplePos="0" relativeHeight="251661312" behindDoc="1" locked="0" layoutInCell="1" allowOverlap="1" wp14:anchorId="6E179169" wp14:editId="177E6451">
          <wp:simplePos x="0" y="0"/>
          <wp:positionH relativeFrom="page">
            <wp:posOffset>9525</wp:posOffset>
          </wp:positionH>
          <wp:positionV relativeFrom="paragraph">
            <wp:posOffset>-252095</wp:posOffset>
          </wp:positionV>
          <wp:extent cx="7734300" cy="1400175"/>
          <wp:effectExtent l="0" t="0" r="0" b="9525"/>
          <wp:wrapNone/>
          <wp:docPr id="6" name="Picture 6"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3D6AD3CE" wp14:editId="757B14B4">
          <wp:extent cx="1306800" cy="666000"/>
          <wp:effectExtent l="0" t="0" r="8255" b="1270"/>
          <wp:docPr id="7" name="Picture 7"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6800" cy="666000"/>
                  </a:xfrm>
                  <a:prstGeom prst="rect">
                    <a:avLst/>
                  </a:prstGeom>
                  <a:noFill/>
                  <a:ln>
                    <a:noFill/>
                  </a:ln>
                </pic:spPr>
              </pic:pic>
            </a:graphicData>
          </a:graphic>
        </wp:inline>
      </w:drawing>
    </w:r>
    <w:r w:rsidR="00105161" w:rsidRPr="00222472">
      <w:rPr>
        <w:noProof/>
        <w:lang w:eastAsia="en-AU"/>
      </w:rPr>
      <mc:AlternateContent>
        <mc:Choice Requires="wps">
          <w:drawing>
            <wp:inline distT="0" distB="0" distL="0" distR="0" wp14:anchorId="7997F1AF" wp14:editId="1C581CB1">
              <wp:extent cx="4171950" cy="66675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666750"/>
                      </a:xfrm>
                      <a:prstGeom prst="rect">
                        <a:avLst/>
                      </a:prstGeom>
                      <a:noFill/>
                      <a:ln w="9525">
                        <a:noFill/>
                        <a:miter lim="800000"/>
                        <a:headEnd/>
                        <a:tailEnd/>
                      </a:ln>
                    </wps:spPr>
                    <wps:txbx>
                      <w:txbxContent>
                        <w:p w14:paraId="7C71DADD" w14:textId="1D9EE2C6" w:rsidR="00E035D0" w:rsidRPr="009A5237" w:rsidRDefault="00105161" w:rsidP="009A5237">
                          <w:pPr>
                            <w:pStyle w:val="AdviceHeading2"/>
                            <w:spacing w:before="0" w:line="360" w:lineRule="auto"/>
                            <w:rPr>
                              <w:sz w:val="32"/>
                              <w:szCs w:val="32"/>
                            </w:rPr>
                          </w:pPr>
                          <w:r w:rsidRPr="009A5237">
                            <w:rPr>
                              <w:sz w:val="32"/>
                              <w:szCs w:val="32"/>
                            </w:rPr>
                            <w:t>TERRITORY RECORDS OFFICE</w:t>
                          </w:r>
                        </w:p>
                        <w:p w14:paraId="06C3DCD1" w14:textId="58DB9F0F" w:rsidR="00105161" w:rsidRPr="009A5237" w:rsidRDefault="00105161" w:rsidP="009A5237">
                          <w:pPr>
                            <w:pStyle w:val="AdviceHeading2"/>
                            <w:spacing w:before="0" w:line="360" w:lineRule="auto"/>
                            <w:rPr>
                              <w:sz w:val="24"/>
                              <w:szCs w:val="24"/>
                            </w:rPr>
                          </w:pPr>
                          <w:r w:rsidRPr="009A5237">
                            <w:rPr>
                              <w:sz w:val="24"/>
                              <w:szCs w:val="24"/>
                            </w:rPr>
                            <w:t>RECORDS ADVICE</w:t>
                          </w:r>
                        </w:p>
                      </w:txbxContent>
                    </wps:txbx>
                    <wps:bodyPr rot="0" vert="horz" wrap="square" lIns="91440" tIns="45720" rIns="91440" bIns="45720" anchor="t" anchorCtr="0">
                      <a:noAutofit/>
                    </wps:bodyPr>
                  </wps:wsp>
                </a:graphicData>
              </a:graphic>
            </wp:inline>
          </w:drawing>
        </mc:Choice>
        <mc:Fallback>
          <w:pict>
            <v:shapetype w14:anchorId="7997F1AF" id="_x0000_t202" coordsize="21600,21600" o:spt="202" path="m,l,21600r21600,l21600,xe">
              <v:stroke joinstyle="miter"/>
              <v:path gradientshapeok="t" o:connecttype="rect"/>
            </v:shapetype>
            <v:shape id="Text Box 2" o:spid="_x0000_s1026" type="#_x0000_t202" style="width:328.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" filled="f" stroked="f">
              <v:textbox>
                <w:txbxContent>
                  <w:p w14:paraId="7C71DADD" w14:textId="1D9EE2C6" w:rsidR="00E035D0" w:rsidRPr="009A5237" w:rsidRDefault="00105161" w:rsidP="009A5237">
                    <w:pPr>
                      <w:pStyle w:val="AdviceHeading2"/>
                      <w:spacing w:before="0" w:line="360" w:lineRule="auto"/>
                      <w:rPr>
                        <w:sz w:val="32"/>
                        <w:szCs w:val="32"/>
                      </w:rPr>
                    </w:pPr>
                    <w:r w:rsidRPr="009A5237">
                      <w:rPr>
                        <w:sz w:val="32"/>
                        <w:szCs w:val="32"/>
                      </w:rPr>
                      <w:t>TERRITORY RECORDS OFFICE</w:t>
                    </w:r>
                  </w:p>
                  <w:p w14:paraId="06C3DCD1" w14:textId="58DB9F0F" w:rsidR="00105161" w:rsidRPr="009A5237" w:rsidRDefault="00105161" w:rsidP="009A5237">
                    <w:pPr>
                      <w:pStyle w:val="AdviceHeading2"/>
                      <w:spacing w:before="0" w:line="360" w:lineRule="auto"/>
                      <w:rPr>
                        <w:sz w:val="24"/>
                        <w:szCs w:val="24"/>
                      </w:rPr>
                    </w:pPr>
                    <w:r w:rsidRPr="009A5237">
                      <w:rPr>
                        <w:sz w:val="24"/>
                        <w:szCs w:val="24"/>
                      </w:rPr>
                      <w:t>RECORDS ADVICE</w:t>
                    </w:r>
                  </w:p>
                </w:txbxContent>
              </v:textbox>
              <w10:anchorlock/>
            </v:shape>
          </w:pict>
        </mc:Fallback>
      </mc:AlternateContent>
    </w:r>
    <w:r w:rsidR="00105161">
      <w:tab/>
    </w:r>
  </w:p>
  <w:p w14:paraId="338FAFD0" w14:textId="216BE9ED"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0B8"/>
    <w:multiLevelType w:val="hybridMultilevel"/>
    <w:tmpl w:val="AAAAAC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E7B52"/>
    <w:multiLevelType w:val="hybridMultilevel"/>
    <w:tmpl w:val="B67E6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76E04"/>
    <w:multiLevelType w:val="multilevel"/>
    <w:tmpl w:val="DC88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F64061"/>
    <w:multiLevelType w:val="hybridMultilevel"/>
    <w:tmpl w:val="2FEE1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904468"/>
    <w:multiLevelType w:val="hybridMultilevel"/>
    <w:tmpl w:val="0E8ED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4824"/>
    <w:multiLevelType w:val="hybridMultilevel"/>
    <w:tmpl w:val="14709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B733AF"/>
    <w:multiLevelType w:val="multilevel"/>
    <w:tmpl w:val="E258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23652F"/>
    <w:multiLevelType w:val="hybridMultilevel"/>
    <w:tmpl w:val="18F61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B96043"/>
    <w:multiLevelType w:val="hybridMultilevel"/>
    <w:tmpl w:val="182CB9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3B30F3"/>
    <w:multiLevelType w:val="hybridMultilevel"/>
    <w:tmpl w:val="1590B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64F95"/>
    <w:multiLevelType w:val="hybridMultilevel"/>
    <w:tmpl w:val="BF56D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1052BF"/>
    <w:multiLevelType w:val="hybridMultilevel"/>
    <w:tmpl w:val="10480C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63493F"/>
    <w:multiLevelType w:val="hybridMultilevel"/>
    <w:tmpl w:val="BA0273E0"/>
    <w:lvl w:ilvl="0" w:tplc="4A2E3918">
      <w:start w:val="2"/>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EA044F4"/>
    <w:multiLevelType w:val="hybridMultilevel"/>
    <w:tmpl w:val="EDA2F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AF031A"/>
    <w:multiLevelType w:val="hybridMultilevel"/>
    <w:tmpl w:val="5950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1849308">
    <w:abstractNumId w:val="1"/>
  </w:num>
  <w:num w:numId="2" w16cid:durableId="426077379">
    <w:abstractNumId w:val="5"/>
  </w:num>
  <w:num w:numId="3" w16cid:durableId="1197544532">
    <w:abstractNumId w:val="3"/>
  </w:num>
  <w:num w:numId="4" w16cid:durableId="213129584">
    <w:abstractNumId w:val="6"/>
  </w:num>
  <w:num w:numId="5" w16cid:durableId="439689537">
    <w:abstractNumId w:val="10"/>
  </w:num>
  <w:num w:numId="6" w16cid:durableId="2056615125">
    <w:abstractNumId w:val="13"/>
  </w:num>
  <w:num w:numId="7" w16cid:durableId="1939169484">
    <w:abstractNumId w:val="7"/>
  </w:num>
  <w:num w:numId="8" w16cid:durableId="1174077637">
    <w:abstractNumId w:val="16"/>
  </w:num>
  <w:num w:numId="9" w16cid:durableId="731540342">
    <w:abstractNumId w:val="9"/>
  </w:num>
  <w:num w:numId="10" w16cid:durableId="660474600">
    <w:abstractNumId w:val="2"/>
  </w:num>
  <w:num w:numId="11" w16cid:durableId="1560046832">
    <w:abstractNumId w:val="14"/>
  </w:num>
  <w:num w:numId="12" w16cid:durableId="501772690">
    <w:abstractNumId w:val="12"/>
  </w:num>
  <w:num w:numId="13" w16cid:durableId="1766342963">
    <w:abstractNumId w:val="17"/>
  </w:num>
  <w:num w:numId="14" w16cid:durableId="1779376021">
    <w:abstractNumId w:val="0"/>
  </w:num>
  <w:num w:numId="15" w16cid:durableId="1301886830">
    <w:abstractNumId w:val="8"/>
  </w:num>
  <w:num w:numId="16" w16cid:durableId="153034677">
    <w:abstractNumId w:val="11"/>
  </w:num>
  <w:num w:numId="17" w16cid:durableId="1133399929">
    <w:abstractNumId w:val="15"/>
  </w:num>
  <w:num w:numId="18" w16cid:durableId="14543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D0"/>
    <w:rsid w:val="00063054"/>
    <w:rsid w:val="00093FFC"/>
    <w:rsid w:val="000A7299"/>
    <w:rsid w:val="000D71D0"/>
    <w:rsid w:val="00105161"/>
    <w:rsid w:val="00130C15"/>
    <w:rsid w:val="00135572"/>
    <w:rsid w:val="00150C1E"/>
    <w:rsid w:val="001E5B27"/>
    <w:rsid w:val="00201994"/>
    <w:rsid w:val="00222472"/>
    <w:rsid w:val="00270929"/>
    <w:rsid w:val="002711BD"/>
    <w:rsid w:val="002B5CA0"/>
    <w:rsid w:val="002E7B6B"/>
    <w:rsid w:val="003727E8"/>
    <w:rsid w:val="003B7AD6"/>
    <w:rsid w:val="003D0E6C"/>
    <w:rsid w:val="0042527F"/>
    <w:rsid w:val="004504DE"/>
    <w:rsid w:val="004C2A0F"/>
    <w:rsid w:val="004D4078"/>
    <w:rsid w:val="00524CBB"/>
    <w:rsid w:val="00554411"/>
    <w:rsid w:val="005A0B59"/>
    <w:rsid w:val="005A5D01"/>
    <w:rsid w:val="005A7AB5"/>
    <w:rsid w:val="00636871"/>
    <w:rsid w:val="0066702E"/>
    <w:rsid w:val="006B2A5D"/>
    <w:rsid w:val="006C3AE4"/>
    <w:rsid w:val="006C5DFC"/>
    <w:rsid w:val="00710282"/>
    <w:rsid w:val="00756C46"/>
    <w:rsid w:val="00785514"/>
    <w:rsid w:val="007B645D"/>
    <w:rsid w:val="007C3780"/>
    <w:rsid w:val="007E70D4"/>
    <w:rsid w:val="007E72D6"/>
    <w:rsid w:val="00804EE8"/>
    <w:rsid w:val="00837932"/>
    <w:rsid w:val="008603D4"/>
    <w:rsid w:val="00910B98"/>
    <w:rsid w:val="009273D3"/>
    <w:rsid w:val="00932CCF"/>
    <w:rsid w:val="009A5237"/>
    <w:rsid w:val="009E17B9"/>
    <w:rsid w:val="00A31005"/>
    <w:rsid w:val="00A7228E"/>
    <w:rsid w:val="00B861C6"/>
    <w:rsid w:val="00BA38E4"/>
    <w:rsid w:val="00BB2881"/>
    <w:rsid w:val="00BE1228"/>
    <w:rsid w:val="00BF3805"/>
    <w:rsid w:val="00C12D7F"/>
    <w:rsid w:val="00C45864"/>
    <w:rsid w:val="00C7430F"/>
    <w:rsid w:val="00CA4543"/>
    <w:rsid w:val="00CB5076"/>
    <w:rsid w:val="00D243A2"/>
    <w:rsid w:val="00D706AE"/>
    <w:rsid w:val="00D93CC2"/>
    <w:rsid w:val="00DA719A"/>
    <w:rsid w:val="00DC2A90"/>
    <w:rsid w:val="00DD2018"/>
    <w:rsid w:val="00DE7945"/>
    <w:rsid w:val="00E035D0"/>
    <w:rsid w:val="00E36135"/>
    <w:rsid w:val="00E74E0F"/>
    <w:rsid w:val="00EF0875"/>
    <w:rsid w:val="00F9331A"/>
    <w:rsid w:val="00FA0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5B37F"/>
  <w15:chartTrackingRefBased/>
  <w15:docId w15:val="{C4AF82D9-C337-4739-AF90-1447E14C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82"/>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E035D0"/>
    <w:pPr>
      <w:keepNext/>
      <w:keepLines/>
      <w:autoSpaceDE/>
      <w:autoSpaceDN/>
      <w:adjustRightInd/>
      <w:spacing w:after="240" w:line="259" w:lineRule="auto"/>
      <w:outlineLvl w:val="0"/>
    </w:pPr>
    <w:rPr>
      <w:rFonts w:ascii="Calibri Light" w:hAnsi="Calibri Light"/>
      <w:color w:val="2F5496"/>
      <w:sz w:val="32"/>
      <w:szCs w:val="32"/>
    </w:rPr>
  </w:style>
  <w:style w:type="paragraph" w:styleId="Heading2">
    <w:name w:val="heading 2"/>
    <w:basedOn w:val="Normal"/>
    <w:next w:val="Normal"/>
    <w:link w:val="Heading2Char"/>
    <w:uiPriority w:val="9"/>
    <w:unhideWhenUsed/>
    <w:qFormat/>
    <w:rsid w:val="00E035D0"/>
    <w:pPr>
      <w:keepNext/>
      <w:keepLines/>
      <w:autoSpaceDE/>
      <w:autoSpaceDN/>
      <w:adjustRightInd/>
      <w:spacing w:line="259" w:lineRule="auto"/>
      <w:outlineLvl w:val="1"/>
    </w:pPr>
    <w:rPr>
      <w:rFonts w:ascii="Calibri Light" w:hAnsi="Calibri Light"/>
      <w:color w:val="2F5496"/>
      <w:sz w:val="32"/>
      <w:szCs w:val="32"/>
    </w:rPr>
  </w:style>
  <w:style w:type="paragraph" w:styleId="Heading3">
    <w:name w:val="heading 3"/>
    <w:basedOn w:val="Normal"/>
    <w:next w:val="Normal"/>
    <w:link w:val="Heading3Char"/>
    <w:uiPriority w:val="9"/>
    <w:unhideWhenUsed/>
    <w:qFormat/>
    <w:rsid w:val="00F9331A"/>
    <w:pPr>
      <w:keepNext/>
      <w:keepLines/>
      <w:autoSpaceDE/>
      <w:autoSpaceDN/>
      <w:adjustRightInd/>
      <w:spacing w:before="40" w:line="259" w:lineRule="auto"/>
      <w:outlineLvl w:val="2"/>
    </w:pPr>
    <w:rPr>
      <w:rFonts w:ascii="Calibri Light" w:hAnsi="Calibri Light"/>
      <w:color w:val="2F5496"/>
      <w:sz w:val="26"/>
      <w:szCs w:val="26"/>
    </w:rPr>
  </w:style>
  <w:style w:type="paragraph" w:styleId="Heading4">
    <w:name w:val="heading 4"/>
    <w:basedOn w:val="Normal"/>
    <w:next w:val="Normal"/>
    <w:link w:val="Heading4Char"/>
    <w:uiPriority w:val="9"/>
    <w:unhideWhenUsed/>
    <w:qFormat/>
    <w:rsid w:val="003B7A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hAnsi="Arial"/>
      <w:b/>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34"/>
    <w:qFormat/>
    <w:rsid w:val="00063054"/>
    <w:pPr>
      <w:ind w:left="720"/>
      <w:contextualSpacing/>
    </w:pPr>
  </w:style>
  <w:style w:type="character" w:customStyle="1" w:styleId="Heading1Char">
    <w:name w:val="Heading 1 Char"/>
    <w:basedOn w:val="DefaultParagraphFont"/>
    <w:link w:val="Heading1"/>
    <w:uiPriority w:val="9"/>
    <w:rsid w:val="00E035D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E035D0"/>
    <w:rPr>
      <w:rFonts w:ascii="Calibri Light" w:eastAsia="Times New Roman" w:hAnsi="Calibri Light" w:cs="Times New Roman"/>
      <w:color w:val="2F5496"/>
      <w:sz w:val="32"/>
      <w:szCs w:val="32"/>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F9331A"/>
    <w:rPr>
      <w:rFonts w:ascii="Calibri Light" w:eastAsia="Times New Roman" w:hAnsi="Calibri Light" w:cs="Times New Roman"/>
      <w:color w:val="2F5496"/>
      <w:sz w:val="26"/>
      <w:szCs w:val="26"/>
    </w:rPr>
  </w:style>
  <w:style w:type="character" w:styleId="Hyperlink">
    <w:name w:val="Hyperlink"/>
    <w:basedOn w:val="DefaultParagraphFont"/>
    <w:uiPriority w:val="99"/>
    <w:semiHidden/>
    <w:unhideWhenUsed/>
    <w:rsid w:val="00270929"/>
    <w:rPr>
      <w:color w:val="0563C1"/>
      <w:u w:val="single"/>
    </w:rPr>
  </w:style>
  <w:style w:type="paragraph" w:styleId="BodyText">
    <w:name w:val="Body Text"/>
    <w:basedOn w:val="Normal"/>
    <w:link w:val="BodyTextChar"/>
    <w:uiPriority w:val="99"/>
    <w:unhideWhenUsed/>
    <w:rsid w:val="00270929"/>
    <w:pPr>
      <w:autoSpaceDE/>
      <w:autoSpaceDN/>
      <w:adjustRightInd/>
      <w:spacing w:before="200" w:after="120" w:line="280" w:lineRule="exact"/>
    </w:pPr>
    <w:rPr>
      <w:rFonts w:eastAsiaTheme="minorHAnsi" w:cs="Calibri"/>
      <w:color w:val="000000"/>
      <w:sz w:val="22"/>
      <w:szCs w:val="22"/>
      <w:lang w:eastAsia="en-AU"/>
    </w:rPr>
  </w:style>
  <w:style w:type="character" w:customStyle="1" w:styleId="BodyTextChar">
    <w:name w:val="Body Text Char"/>
    <w:basedOn w:val="DefaultParagraphFont"/>
    <w:link w:val="BodyText"/>
    <w:uiPriority w:val="99"/>
    <w:rsid w:val="00270929"/>
    <w:rPr>
      <w:rFonts w:ascii="Calibri" w:hAnsi="Calibri" w:cs="Calibri"/>
      <w:color w:val="000000"/>
      <w:lang w:eastAsia="en-AU"/>
    </w:rPr>
  </w:style>
  <w:style w:type="character" w:styleId="CommentReference">
    <w:name w:val="annotation reference"/>
    <w:basedOn w:val="DefaultParagraphFont"/>
    <w:uiPriority w:val="99"/>
    <w:semiHidden/>
    <w:unhideWhenUsed/>
    <w:rsid w:val="00E035D0"/>
    <w:rPr>
      <w:sz w:val="16"/>
      <w:szCs w:val="16"/>
    </w:rPr>
  </w:style>
  <w:style w:type="paragraph" w:customStyle="1" w:styleId="CommentText1">
    <w:name w:val="Comment Text1"/>
    <w:basedOn w:val="Normal"/>
    <w:next w:val="CommentText"/>
    <w:link w:val="CommentTextChar"/>
    <w:uiPriority w:val="99"/>
    <w:semiHidden/>
    <w:unhideWhenUsed/>
    <w:rsid w:val="00E035D0"/>
    <w:pPr>
      <w:autoSpaceDE/>
      <w:autoSpaceDN/>
      <w:adjustRightInd/>
      <w:spacing w:before="0"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E035D0"/>
    <w:rPr>
      <w:sz w:val="20"/>
      <w:szCs w:val="20"/>
    </w:rPr>
  </w:style>
  <w:style w:type="paragraph" w:styleId="CommentText">
    <w:name w:val="annotation text"/>
    <w:basedOn w:val="Normal"/>
    <w:link w:val="CommentTextChar1"/>
    <w:uiPriority w:val="99"/>
    <w:semiHidden/>
    <w:unhideWhenUsed/>
    <w:rsid w:val="00E035D0"/>
    <w:rPr>
      <w:sz w:val="20"/>
      <w:szCs w:val="20"/>
    </w:rPr>
  </w:style>
  <w:style w:type="character" w:customStyle="1" w:styleId="CommentTextChar1">
    <w:name w:val="Comment Text Char1"/>
    <w:basedOn w:val="DefaultParagraphFont"/>
    <w:link w:val="CommentText"/>
    <w:uiPriority w:val="99"/>
    <w:semiHidden/>
    <w:rsid w:val="00E035D0"/>
    <w:rPr>
      <w:rFonts w:ascii="Calibri" w:eastAsia="Times New Roman" w:hAnsi="Calibri" w:cs="Times New Roman"/>
      <w:sz w:val="20"/>
      <w:szCs w:val="20"/>
    </w:rPr>
  </w:style>
  <w:style w:type="paragraph" w:styleId="Revision">
    <w:name w:val="Revision"/>
    <w:hidden/>
    <w:uiPriority w:val="99"/>
    <w:semiHidden/>
    <w:rsid w:val="00910B98"/>
    <w:pPr>
      <w:spacing w:after="0" w:line="240" w:lineRule="auto"/>
    </w:pPr>
    <w:rPr>
      <w:rFonts w:ascii="Calibri" w:eastAsia="Times New Roman" w:hAnsi="Calibri" w:cs="Times New Roman"/>
      <w:sz w:val="24"/>
      <w:szCs w:val="24"/>
    </w:rPr>
  </w:style>
  <w:style w:type="paragraph" w:styleId="CommentSubject">
    <w:name w:val="annotation subject"/>
    <w:basedOn w:val="CommentText"/>
    <w:next w:val="CommentText"/>
    <w:link w:val="CommentSubjectChar"/>
    <w:uiPriority w:val="99"/>
    <w:semiHidden/>
    <w:unhideWhenUsed/>
    <w:rsid w:val="003727E8"/>
    <w:rPr>
      <w:b/>
      <w:bCs/>
    </w:rPr>
  </w:style>
  <w:style w:type="character" w:customStyle="1" w:styleId="CommentSubjectChar">
    <w:name w:val="Comment Subject Char"/>
    <w:basedOn w:val="CommentTextChar1"/>
    <w:link w:val="CommentSubject"/>
    <w:uiPriority w:val="99"/>
    <w:semiHidden/>
    <w:rsid w:val="003727E8"/>
    <w:rPr>
      <w:rFonts w:ascii="Calibri" w:eastAsia="Times New Roman" w:hAnsi="Calibri" w:cs="Times New Roman"/>
      <w:b/>
      <w:bCs/>
      <w:sz w:val="20"/>
      <w:szCs w:val="20"/>
    </w:rPr>
  </w:style>
  <w:style w:type="character" w:customStyle="1" w:styleId="Heading4Char">
    <w:name w:val="Heading 4 Char"/>
    <w:basedOn w:val="DefaultParagraphFont"/>
    <w:link w:val="Heading4"/>
    <w:uiPriority w:val="9"/>
    <w:rsid w:val="003B7AD6"/>
    <w:rPr>
      <w:rFonts w:asciiTheme="majorHAnsi" w:eastAsiaTheme="majorEastAsia" w:hAnsiTheme="majorHAnsi" w:cstheme="majorBidi"/>
      <w:i/>
      <w:iCs/>
      <w:color w:val="2E74B5" w:themeColor="accent1" w:themeShade="BF"/>
      <w:sz w:val="24"/>
      <w:szCs w:val="24"/>
    </w:rPr>
  </w:style>
  <w:style w:type="character" w:styleId="FollowedHyperlink">
    <w:name w:val="FollowedHyperlink"/>
    <w:basedOn w:val="DefaultParagraphFont"/>
    <w:uiPriority w:val="99"/>
    <w:semiHidden/>
    <w:unhideWhenUsed/>
    <w:rsid w:val="00524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206">
      <w:bodyDiv w:val="1"/>
      <w:marLeft w:val="0"/>
      <w:marRight w:val="0"/>
      <w:marTop w:val="0"/>
      <w:marBottom w:val="0"/>
      <w:divBdr>
        <w:top w:val="none" w:sz="0" w:space="0" w:color="auto"/>
        <w:left w:val="none" w:sz="0" w:space="0" w:color="auto"/>
        <w:bottom w:val="none" w:sz="0" w:space="0" w:color="auto"/>
        <w:right w:val="none" w:sz="0" w:space="0" w:color="auto"/>
      </w:divBdr>
    </w:div>
    <w:div w:id="585573496">
      <w:bodyDiv w:val="1"/>
      <w:marLeft w:val="0"/>
      <w:marRight w:val="0"/>
      <w:marTop w:val="0"/>
      <w:marBottom w:val="0"/>
      <w:divBdr>
        <w:top w:val="none" w:sz="0" w:space="0" w:color="auto"/>
        <w:left w:val="none" w:sz="0" w:space="0" w:color="auto"/>
        <w:bottom w:val="none" w:sz="0" w:space="0" w:color="auto"/>
        <w:right w:val="none" w:sz="0" w:space="0" w:color="auto"/>
      </w:divBdr>
    </w:div>
    <w:div w:id="1046682649">
      <w:bodyDiv w:val="1"/>
      <w:marLeft w:val="0"/>
      <w:marRight w:val="0"/>
      <w:marTop w:val="0"/>
      <w:marBottom w:val="0"/>
      <w:divBdr>
        <w:top w:val="none" w:sz="0" w:space="0" w:color="auto"/>
        <w:left w:val="none" w:sz="0" w:space="0" w:color="auto"/>
        <w:bottom w:val="none" w:sz="0" w:space="0" w:color="auto"/>
        <w:right w:val="none" w:sz="0" w:space="0" w:color="auto"/>
      </w:divBdr>
    </w:div>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 w:id="16893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government.sharepoint.com/sites/extranet-DesignPractice" TargetMode="External"/><Relationship Id="rId13" Type="http://schemas.openxmlformats.org/officeDocument/2006/relationships/hyperlink" Target="http://www.territoryrecords.act.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ctgovernment.sharepoint.com/sites/extranet-DesignPractice/SitePages/Journey-Map-101.aspx" TargetMode="External"/><Relationship Id="rId14" Type="http://schemas.openxmlformats.org/officeDocument/2006/relationships/hyperlink" Target="mailto:TRO@act.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20Brown\AppData\Local\Temp\9976227\READ%20ONLY%20-%20CM22-109583%20TRO%20Advic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READ ONLY - CM22-109583 TRO Advice TEMPLATE.DOTM</Template>
  <TotalTime>349</TotalTime>
  <Pages>3</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Brown, Nic</cp:lastModifiedBy>
  <cp:revision>11</cp:revision>
  <cp:lastPrinted>2023-05-09T05:44:00Z</cp:lastPrinted>
  <dcterms:created xsi:type="dcterms:W3CDTF">2023-03-08T03:43:00Z</dcterms:created>
  <dcterms:modified xsi:type="dcterms:W3CDTF">2023-05-09T05:44:00Z</dcterms:modified>
</cp:coreProperties>
</file>