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0063" w14:textId="3874AA64" w:rsidR="00152C5A" w:rsidRPr="00700F01" w:rsidRDefault="002E4CD5" w:rsidP="00A2391D">
      <w:pPr>
        <w:pStyle w:val="Heading1"/>
      </w:pPr>
      <w:r w:rsidRPr="00A2391D">
        <w:t>Disaster</w:t>
      </w:r>
      <w:r w:rsidR="00361FA3" w:rsidRPr="00A2391D">
        <w:t xml:space="preserve"> </w:t>
      </w:r>
      <w:r w:rsidR="00237F47">
        <w:t xml:space="preserve">Recovery </w:t>
      </w:r>
      <w:r w:rsidR="00586FA5" w:rsidRPr="00A2391D">
        <w:t>Planning</w:t>
      </w:r>
      <w:r w:rsidR="00237F47">
        <w:t xml:space="preserve"> for </w:t>
      </w:r>
      <w:r w:rsidR="00237F47" w:rsidRPr="00A2391D">
        <w:t>Physical Records</w:t>
      </w:r>
    </w:p>
    <w:p w14:paraId="1F967175" w14:textId="14F5026B" w:rsidR="00152C5A" w:rsidRPr="00700F01" w:rsidRDefault="00152C5A" w:rsidP="001C608B">
      <w:pPr>
        <w:pStyle w:val="Heading1"/>
      </w:pPr>
      <w:r w:rsidRPr="00A2391D">
        <w:t>Purpose</w:t>
      </w:r>
    </w:p>
    <w:p w14:paraId="052695EB" w14:textId="38436E7C" w:rsidR="000A6410" w:rsidRDefault="00B13599" w:rsidP="00953877">
      <w:r>
        <w:t xml:space="preserve">In a disaster, the loss of records can cripple business activities. </w:t>
      </w:r>
      <w:r w:rsidR="002E4CD5" w:rsidRPr="00BF0699">
        <w:t>The purpose of this advice is to guide</w:t>
      </w:r>
      <w:r w:rsidR="00B93209" w:rsidRPr="00BF0699">
        <w:t xml:space="preserve"> </w:t>
      </w:r>
      <w:r w:rsidR="00084891">
        <w:t xml:space="preserve">ACT Government </w:t>
      </w:r>
      <w:r w:rsidR="00B93209" w:rsidRPr="00BF0699">
        <w:t>agencies</w:t>
      </w:r>
      <w:r w:rsidR="002E4CD5" w:rsidRPr="00BF0699">
        <w:t xml:space="preserve"> in developing</w:t>
      </w:r>
      <w:r w:rsidR="00DE1AEF" w:rsidRPr="00DE1AEF">
        <w:t xml:space="preserve"> </w:t>
      </w:r>
      <w:r w:rsidR="00DE1AEF">
        <w:t>an effective</w:t>
      </w:r>
      <w:r w:rsidR="002E4CD5" w:rsidRPr="00BF0699">
        <w:t xml:space="preserve"> disaster </w:t>
      </w:r>
      <w:r w:rsidR="00237F47">
        <w:t>recovery</w:t>
      </w:r>
      <w:r w:rsidR="00361FA3" w:rsidRPr="00BF0699">
        <w:t xml:space="preserve"> </w:t>
      </w:r>
      <w:r w:rsidR="00586FA5">
        <w:t>plan</w:t>
      </w:r>
      <w:r w:rsidR="00586FA5" w:rsidRPr="00BF0699">
        <w:t xml:space="preserve"> </w:t>
      </w:r>
      <w:r w:rsidR="00DE1AEF">
        <w:t>for</w:t>
      </w:r>
      <w:r w:rsidR="00867E4D">
        <w:t xml:space="preserve"> </w:t>
      </w:r>
      <w:r w:rsidR="00AD4339">
        <w:t>any</w:t>
      </w:r>
      <w:r w:rsidR="00A51D80">
        <w:t xml:space="preserve"> physical</w:t>
      </w:r>
      <w:r w:rsidR="00DE1AEF">
        <w:t xml:space="preserve"> </w:t>
      </w:r>
      <w:r w:rsidR="00867E4D">
        <w:t xml:space="preserve">records </w:t>
      </w:r>
      <w:r w:rsidR="00866EBA">
        <w:t>they</w:t>
      </w:r>
      <w:r w:rsidR="00AD4339">
        <w:t xml:space="preserve"> rely on</w:t>
      </w:r>
      <w:r w:rsidR="000A6410">
        <w:t xml:space="preserve">. This avoids </w:t>
      </w:r>
      <w:r w:rsidR="00867E4D">
        <w:t>potential risks,</w:t>
      </w:r>
      <w:r w:rsidR="00C82F46">
        <w:t xml:space="preserve"> minimise</w:t>
      </w:r>
      <w:r w:rsidR="000A6410">
        <w:t>s</w:t>
      </w:r>
      <w:r w:rsidR="00C82F46">
        <w:t xml:space="preserve"> disruption, ensure</w:t>
      </w:r>
      <w:r w:rsidR="000A6410">
        <w:t>s</w:t>
      </w:r>
      <w:r w:rsidR="00C82F46">
        <w:t xml:space="preserve"> operational continuity, and safeguard</w:t>
      </w:r>
      <w:r w:rsidR="000A6410">
        <w:t>s</w:t>
      </w:r>
      <w:r w:rsidR="00C82F46">
        <w:t xml:space="preserve"> valuable assets </w:t>
      </w:r>
      <w:r w:rsidR="00867E4D">
        <w:t xml:space="preserve">in the event of </w:t>
      </w:r>
      <w:r w:rsidR="00C82F46">
        <w:t>a disaster.</w:t>
      </w:r>
      <w:r w:rsidR="000A6410">
        <w:t xml:space="preserve"> </w:t>
      </w:r>
    </w:p>
    <w:p w14:paraId="4D86EEE4" w14:textId="19BC9953" w:rsidR="000A6410" w:rsidRDefault="000A6410" w:rsidP="00953877">
      <w:r>
        <w:t>T</w:t>
      </w:r>
      <w:r w:rsidR="00C1736A" w:rsidRPr="000A6410">
        <w:t xml:space="preserve">his </w:t>
      </w:r>
      <w:r w:rsidR="00E84617" w:rsidRPr="000A6410">
        <w:t>a</w:t>
      </w:r>
      <w:r w:rsidR="00C1736A" w:rsidRPr="000A6410">
        <w:t xml:space="preserve">dvice relates </w:t>
      </w:r>
      <w:r w:rsidR="00866EBA" w:rsidRPr="000A6410">
        <w:t xml:space="preserve">specifically </w:t>
      </w:r>
      <w:r w:rsidR="00CF5BF1" w:rsidRPr="000A6410">
        <w:t>to disaster</w:t>
      </w:r>
      <w:r w:rsidR="00E84617" w:rsidRPr="000A6410">
        <w:t xml:space="preserve"> </w:t>
      </w:r>
      <w:r w:rsidR="00237F47">
        <w:t xml:space="preserve">recovery </w:t>
      </w:r>
      <w:r w:rsidR="00866EBA" w:rsidRPr="000A6410">
        <w:t xml:space="preserve">planning </w:t>
      </w:r>
      <w:r w:rsidR="00E84617" w:rsidRPr="000A6410">
        <w:t>for</w:t>
      </w:r>
      <w:r w:rsidR="00874880" w:rsidRPr="000A6410">
        <w:t xml:space="preserve"> </w:t>
      </w:r>
      <w:r w:rsidR="00E84617" w:rsidRPr="000A6410">
        <w:t>physical</w:t>
      </w:r>
      <w:r w:rsidR="00C1736A" w:rsidRPr="000A6410">
        <w:t xml:space="preserve"> records. </w:t>
      </w:r>
      <w:r>
        <w:t xml:space="preserve">It </w:t>
      </w:r>
      <w:r w:rsidR="00C1736A" w:rsidRPr="000A6410">
        <w:t>does not cover cyber</w:t>
      </w:r>
      <w:r w:rsidR="007F0C95" w:rsidRPr="000A6410">
        <w:t xml:space="preserve"> </w:t>
      </w:r>
      <w:r w:rsidR="00D7308D" w:rsidRPr="000A6410">
        <w:t>s</w:t>
      </w:r>
      <w:r w:rsidR="00C1736A" w:rsidRPr="000A6410">
        <w:t xml:space="preserve">ecurity risks and other threats to digital records. </w:t>
      </w:r>
      <w:r w:rsidR="007B6F03" w:rsidRPr="000A6410">
        <w:t>Cyber security incident</w:t>
      </w:r>
      <w:r w:rsidR="007F0C95" w:rsidRPr="000A6410">
        <w:t>s</w:t>
      </w:r>
      <w:r w:rsidR="007B6F03" w:rsidRPr="000A6410">
        <w:t xml:space="preserve"> must be reported to </w:t>
      </w:r>
      <w:hyperlink r:id="rId8" w:history="1">
        <w:r w:rsidR="007B6F03" w:rsidRPr="000A6410">
          <w:t>ICT Service Desk</w:t>
        </w:r>
      </w:hyperlink>
      <w:r w:rsidR="007B6F03" w:rsidRPr="000A6410">
        <w:t xml:space="preserve"> as soon as possible</w:t>
      </w:r>
      <w:r w:rsidR="001C608B">
        <w:t>. C</w:t>
      </w:r>
      <w:r w:rsidR="007B6F03" w:rsidRPr="000A6410">
        <w:t>all 620 79000 and press 1 for ICT.</w:t>
      </w:r>
      <w:r w:rsidRPr="000A6410">
        <w:t xml:space="preserve"> </w:t>
      </w:r>
      <w:r w:rsidR="00D7308D" w:rsidRPr="000A6410">
        <w:t xml:space="preserve">In the </w:t>
      </w:r>
      <w:r w:rsidR="00E84617" w:rsidRPr="000A6410">
        <w:t xml:space="preserve">event of a disaster </w:t>
      </w:r>
      <w:r w:rsidR="007F0C95" w:rsidRPr="000A6410">
        <w:t xml:space="preserve">affecting </w:t>
      </w:r>
      <w:r w:rsidR="00E84617" w:rsidRPr="000A6410">
        <w:t xml:space="preserve">a Whole of Government EDRMS, </w:t>
      </w:r>
      <w:r>
        <w:t>email</w:t>
      </w:r>
      <w:r w:rsidR="00795D8F" w:rsidRPr="000A6410">
        <w:t xml:space="preserve"> </w:t>
      </w:r>
      <w:r w:rsidR="00C1736A" w:rsidRPr="000A6410">
        <w:t xml:space="preserve">Digital Records </w:t>
      </w:r>
      <w:r w:rsidR="00866EBA" w:rsidRPr="000A6410">
        <w:t xml:space="preserve">Strategy and Services </w:t>
      </w:r>
      <w:hyperlink r:id="rId9" w:history="1">
        <w:r w:rsidRPr="000B6C3C">
          <w:rPr>
            <w:rStyle w:val="Hyperlink"/>
          </w:rPr>
          <w:t>DigitalRecordsHelpdesk@act.gov.au</w:t>
        </w:r>
      </w:hyperlink>
      <w:r w:rsidR="0087650E">
        <w:t>.</w:t>
      </w:r>
    </w:p>
    <w:p w14:paraId="496A42DC" w14:textId="06205B1B" w:rsidR="00286AAF" w:rsidRPr="00700F01" w:rsidRDefault="00286AAF" w:rsidP="001C608B">
      <w:pPr>
        <w:pStyle w:val="Heading1"/>
      </w:pPr>
      <w:r w:rsidRPr="00A2391D">
        <w:t xml:space="preserve">What </w:t>
      </w:r>
      <w:r w:rsidR="002E4CD5" w:rsidRPr="00A2391D">
        <w:t>is</w:t>
      </w:r>
      <w:r w:rsidR="00C1736A" w:rsidRPr="00A2391D">
        <w:t xml:space="preserve"> a</w:t>
      </w:r>
      <w:r w:rsidR="002E4CD5" w:rsidRPr="00A2391D">
        <w:t xml:space="preserve"> disaster</w:t>
      </w:r>
      <w:r w:rsidRPr="00A2391D">
        <w:t>?</w:t>
      </w:r>
    </w:p>
    <w:p w14:paraId="74267BAB" w14:textId="4EE2DCAC" w:rsidR="00E9084A" w:rsidRPr="00953877" w:rsidRDefault="00866EBA" w:rsidP="00953877">
      <w:r>
        <w:t>In this advice, we refer to a</w:t>
      </w:r>
      <w:r w:rsidR="001C73C6" w:rsidRPr="00BF0699">
        <w:t xml:space="preserve"> d</w:t>
      </w:r>
      <w:r w:rsidR="00DA3DF4" w:rsidRPr="00BF0699">
        <w:t xml:space="preserve">isaster </w:t>
      </w:r>
      <w:r>
        <w:t>a</w:t>
      </w:r>
      <w:r w:rsidR="002E4CD5" w:rsidRPr="00BF0699">
        <w:t xml:space="preserve">s </w:t>
      </w:r>
      <w:r w:rsidR="007B6F03" w:rsidRPr="00BF0699">
        <w:t>a</w:t>
      </w:r>
      <w:r w:rsidR="00F1502A">
        <w:t>n</w:t>
      </w:r>
      <w:r w:rsidR="002E4CD5" w:rsidRPr="00BF0699">
        <w:t xml:space="preserve"> event that causes significant </w:t>
      </w:r>
      <w:r w:rsidR="004A2678" w:rsidRPr="00BF0699">
        <w:t>damage</w:t>
      </w:r>
      <w:r w:rsidR="003B20C5">
        <w:t xml:space="preserve">, loss or </w:t>
      </w:r>
      <w:r w:rsidR="001552EA">
        <w:t>harm to</w:t>
      </w:r>
      <w:r w:rsidR="003B20C5">
        <w:t xml:space="preserve"> </w:t>
      </w:r>
      <w:r>
        <w:t xml:space="preserve">an </w:t>
      </w:r>
      <w:r w:rsidR="00084891">
        <w:t xml:space="preserve">agency’s </w:t>
      </w:r>
      <w:r w:rsidR="003B20C5">
        <w:t>physical records, their management</w:t>
      </w:r>
      <w:r>
        <w:t>,</w:t>
      </w:r>
      <w:r w:rsidR="003B20C5">
        <w:t xml:space="preserve"> </w:t>
      </w:r>
      <w:r>
        <w:t xml:space="preserve">or </w:t>
      </w:r>
      <w:r w:rsidR="003B20C5">
        <w:t>the recordkeeping systems that are used to administer them.</w:t>
      </w:r>
    </w:p>
    <w:p w14:paraId="5F24E805" w14:textId="2E4D2A3E" w:rsidR="001E1F65" w:rsidRPr="00953877" w:rsidRDefault="004A2678" w:rsidP="00953877">
      <w:r w:rsidRPr="00953877">
        <w:t xml:space="preserve">Potential threats can </w:t>
      </w:r>
      <w:r w:rsidR="003028CB" w:rsidRPr="00953877">
        <w:t>be</w:t>
      </w:r>
      <w:r w:rsidR="005B602E">
        <w:t xml:space="preserve"> from</w:t>
      </w:r>
      <w:r w:rsidR="003028CB" w:rsidRPr="00953877">
        <w:t xml:space="preserve"> natural or </w:t>
      </w:r>
      <w:r w:rsidR="00EF5F98">
        <w:t>human</w:t>
      </w:r>
      <w:r w:rsidR="00EF5F98" w:rsidRPr="00953877">
        <w:t xml:space="preserve"> </w:t>
      </w:r>
      <w:r w:rsidR="005B602E">
        <w:t>causes</w:t>
      </w:r>
      <w:r w:rsidR="00AC5F4B">
        <w:t xml:space="preserve">, </w:t>
      </w:r>
      <w:r w:rsidR="00104B1E">
        <w:t xml:space="preserve">and can include </w:t>
      </w:r>
      <w:r w:rsidR="004F05B5" w:rsidRPr="00953877">
        <w:t xml:space="preserve">flood, fire and smoke, earthquake, </w:t>
      </w:r>
      <w:r w:rsidR="00084891">
        <w:t xml:space="preserve">pandemic, </w:t>
      </w:r>
      <w:r w:rsidR="004F05B5" w:rsidRPr="00953877">
        <w:t>pests, storms</w:t>
      </w:r>
      <w:r w:rsidR="00867E4D" w:rsidRPr="00953877">
        <w:t xml:space="preserve">, temperature and humidity, mould, </w:t>
      </w:r>
      <w:r w:rsidR="00EF5F98">
        <w:t xml:space="preserve">criminal </w:t>
      </w:r>
      <w:r w:rsidR="004F05B5" w:rsidRPr="00953877">
        <w:t xml:space="preserve">action, </w:t>
      </w:r>
      <w:r w:rsidR="00F1502A" w:rsidRPr="00953877">
        <w:t>human error</w:t>
      </w:r>
      <w:r w:rsidR="00867E4D" w:rsidRPr="00953877">
        <w:t xml:space="preserve">, </w:t>
      </w:r>
      <w:r w:rsidR="004F05B5" w:rsidRPr="00953877">
        <w:t xml:space="preserve">power loss, leaks, </w:t>
      </w:r>
      <w:r w:rsidR="0087650E">
        <w:t xml:space="preserve">or </w:t>
      </w:r>
      <w:r w:rsidR="004F05B5" w:rsidRPr="00953877">
        <w:t xml:space="preserve">building </w:t>
      </w:r>
      <w:r w:rsidR="0087650E">
        <w:t>damage</w:t>
      </w:r>
      <w:r w:rsidR="00867E4D" w:rsidRPr="00953877">
        <w:t>.</w:t>
      </w:r>
      <w:r w:rsidR="00084891">
        <w:t xml:space="preserve"> </w:t>
      </w:r>
      <w:r w:rsidR="0079112B">
        <w:t xml:space="preserve">These threats could impact physical records </w:t>
      </w:r>
      <w:r w:rsidR="00725EF8">
        <w:t xml:space="preserve">sitting </w:t>
      </w:r>
      <w:r w:rsidR="0079112B">
        <w:t>on a desk</w:t>
      </w:r>
      <w:r w:rsidR="00104B1E">
        <w:t xml:space="preserve"> or a car</w:t>
      </w:r>
      <w:r w:rsidR="0087650E">
        <w:t xml:space="preserve"> </w:t>
      </w:r>
      <w:r w:rsidR="00725EF8">
        <w:t>seat</w:t>
      </w:r>
      <w:r w:rsidR="0079112B">
        <w:t xml:space="preserve">, </w:t>
      </w:r>
      <w:r w:rsidR="00104B1E">
        <w:t xml:space="preserve">or stored in a file room </w:t>
      </w:r>
      <w:r w:rsidR="0079112B">
        <w:t xml:space="preserve">or a warehouse. </w:t>
      </w:r>
    </w:p>
    <w:p w14:paraId="5E63C1F1" w14:textId="607A0B67" w:rsidR="004C5DBA" w:rsidRPr="00824358" w:rsidRDefault="006D2EDB" w:rsidP="001C608B">
      <w:pPr>
        <w:pStyle w:val="Heading1"/>
      </w:pPr>
      <w:r>
        <w:t xml:space="preserve">Which agencies need a disaster </w:t>
      </w:r>
      <w:r w:rsidR="00237F47">
        <w:t xml:space="preserve">recovery </w:t>
      </w:r>
      <w:r>
        <w:t>plan for physical records?</w:t>
      </w:r>
    </w:p>
    <w:p w14:paraId="2142F409" w14:textId="59F50898" w:rsidR="00700DBC" w:rsidRDefault="00084891" w:rsidP="00953877">
      <w:r w:rsidRPr="00AC5F4B">
        <w:t xml:space="preserve">A disaster </w:t>
      </w:r>
      <w:r w:rsidR="00237F47">
        <w:t xml:space="preserve">recovery </w:t>
      </w:r>
      <w:r w:rsidRPr="00AC5F4B">
        <w:t xml:space="preserve">plan is essential for any agency that holds physical records. </w:t>
      </w:r>
      <w:r w:rsidR="00AC5F4B">
        <w:t>Agencies must take steps to protect physical records from potential threat</w:t>
      </w:r>
      <w:r w:rsidR="00FB4BF3">
        <w:t>s</w:t>
      </w:r>
      <w:r w:rsidR="00AC5F4B">
        <w:t xml:space="preserve"> and include disaster management as part of organisation-wide business continuity plans. </w:t>
      </w:r>
      <w:r w:rsidR="00A3561D" w:rsidRPr="00AC5F4B">
        <w:t>A disaster plan is not required for records stored with the Territory Records Office</w:t>
      </w:r>
      <w:r w:rsidR="00700DBC" w:rsidRPr="00AC5F4B">
        <w:t xml:space="preserve">. However, </w:t>
      </w:r>
      <w:r w:rsidR="00EF5F98" w:rsidRPr="00AC5F4B">
        <w:t xml:space="preserve">agencies should </w:t>
      </w:r>
      <w:r w:rsidR="00700DBC" w:rsidRPr="00AC5F4B">
        <w:t xml:space="preserve">consider the impact of a disaster involving those records in </w:t>
      </w:r>
      <w:r w:rsidR="00A3561D" w:rsidRPr="00AC5F4B">
        <w:t xml:space="preserve">their </w:t>
      </w:r>
      <w:r w:rsidR="00700DBC" w:rsidRPr="00AC5F4B">
        <w:t>business continuity planning</w:t>
      </w:r>
      <w:r w:rsidR="006D2EDB">
        <w:t>.</w:t>
      </w:r>
    </w:p>
    <w:p w14:paraId="7C20397E" w14:textId="15C8559B" w:rsidR="00A3561D" w:rsidRDefault="00AC5F4B" w:rsidP="00953877">
      <w:r w:rsidRPr="00AC5F4B">
        <w:t xml:space="preserve">If agencies </w:t>
      </w:r>
      <w:r w:rsidR="006D2EDB">
        <w:t xml:space="preserve">holding physical records </w:t>
      </w:r>
      <w:r w:rsidRPr="00AC5F4B">
        <w:t xml:space="preserve">do not already have a disaster </w:t>
      </w:r>
      <w:r w:rsidR="00237F47">
        <w:t xml:space="preserve">recovery </w:t>
      </w:r>
      <w:r w:rsidRPr="00AC5F4B">
        <w:t xml:space="preserve">plan in place, it is </w:t>
      </w:r>
      <w:r w:rsidR="0087650E">
        <w:t>important</w:t>
      </w:r>
      <w:r w:rsidR="0087650E" w:rsidRPr="00AC5F4B">
        <w:t xml:space="preserve"> </w:t>
      </w:r>
      <w:r w:rsidRPr="00AC5F4B">
        <w:t xml:space="preserve">to start planning immediately. </w:t>
      </w:r>
      <w:r w:rsidR="00E86BBB" w:rsidRPr="00E86BBB">
        <w:t xml:space="preserve">Early planning </w:t>
      </w:r>
      <w:r w:rsidR="00700DBC">
        <w:t xml:space="preserve">for a disaster </w:t>
      </w:r>
      <w:r w:rsidR="00E86BBB" w:rsidRPr="00E86BBB">
        <w:t>ensures readiness and helps minimi</w:t>
      </w:r>
      <w:r w:rsidR="00C1736A">
        <w:t>s</w:t>
      </w:r>
      <w:r w:rsidR="00E86BBB" w:rsidRPr="00E86BBB">
        <w:t xml:space="preserve">e </w:t>
      </w:r>
      <w:r w:rsidR="00CB5048">
        <w:t>disruption</w:t>
      </w:r>
      <w:r w:rsidR="00E86BBB" w:rsidRPr="00E86BBB">
        <w:t xml:space="preserve"> and </w:t>
      </w:r>
      <w:r w:rsidR="00E86BBB">
        <w:t xml:space="preserve">unnecessary </w:t>
      </w:r>
      <w:r w:rsidR="00E86BBB" w:rsidRPr="00E86BBB">
        <w:t>costs. Preparedness is key to addressing issues promptly and efficiently, which ultimately saves time and resources</w:t>
      </w:r>
      <w:r w:rsidR="00700DBC">
        <w:t>, and can prevent permanent loss of affected records</w:t>
      </w:r>
      <w:r w:rsidR="00E86BBB" w:rsidRPr="00E86BBB">
        <w:t>.</w:t>
      </w:r>
      <w:r w:rsidR="00E86BBB">
        <w:t xml:space="preserve"> </w:t>
      </w:r>
    </w:p>
    <w:p w14:paraId="14B448C3" w14:textId="46B50670" w:rsidR="00586FA5" w:rsidRDefault="00675E56" w:rsidP="001C608B">
      <w:pPr>
        <w:pStyle w:val="Heading1"/>
      </w:pPr>
      <w:r>
        <w:t xml:space="preserve">Before a disaster: Develop a disaster </w:t>
      </w:r>
      <w:r w:rsidR="00237F47">
        <w:t xml:space="preserve">recovery </w:t>
      </w:r>
      <w:r>
        <w:t>plan</w:t>
      </w:r>
    </w:p>
    <w:p w14:paraId="7CE7E464" w14:textId="0DB190C1" w:rsidR="00E9030A" w:rsidRDefault="00E9030A" w:rsidP="00E9030A">
      <w:pPr>
        <w:pStyle w:val="ListParagraph"/>
        <w:numPr>
          <w:ilvl w:val="0"/>
          <w:numId w:val="24"/>
        </w:numPr>
      </w:pPr>
      <w:r w:rsidRPr="00354E54">
        <w:t xml:space="preserve">Identify risks and mitigation </w:t>
      </w:r>
      <w:r>
        <w:t>strategies.</w:t>
      </w:r>
    </w:p>
    <w:p w14:paraId="09EBDD5A" w14:textId="77777777" w:rsidR="00225DA8" w:rsidRDefault="00A95292" w:rsidP="00E9030A">
      <w:pPr>
        <w:pStyle w:val="ListParagraph"/>
        <w:numPr>
          <w:ilvl w:val="1"/>
          <w:numId w:val="24"/>
        </w:numPr>
      </w:pPr>
      <w:r w:rsidRPr="00744273">
        <w:t>Conduct a risk assessment to identify potential threats and create strategies to minimi</w:t>
      </w:r>
      <w:r w:rsidR="00344D1C">
        <w:t>s</w:t>
      </w:r>
      <w:r w:rsidRPr="00744273">
        <w:t>e these risks.</w:t>
      </w:r>
      <w:r w:rsidR="007F1877">
        <w:t xml:space="preserve"> </w:t>
      </w:r>
    </w:p>
    <w:p w14:paraId="71008930" w14:textId="3CF05B0B" w:rsidR="001552EA" w:rsidRDefault="001B2B0A" w:rsidP="00E9030A">
      <w:pPr>
        <w:pStyle w:val="ListParagraph"/>
        <w:numPr>
          <w:ilvl w:val="1"/>
          <w:numId w:val="24"/>
        </w:numPr>
      </w:pPr>
      <w:r>
        <w:t xml:space="preserve">For </w:t>
      </w:r>
      <w:r w:rsidR="00225DA8">
        <w:t xml:space="preserve">physical records in </w:t>
      </w:r>
      <w:r w:rsidR="008569B3">
        <w:t>third</w:t>
      </w:r>
      <w:r w:rsidR="00225DA8">
        <w:t>-</w:t>
      </w:r>
      <w:r w:rsidR="008569B3">
        <w:t>party storage, r</w:t>
      </w:r>
      <w:r w:rsidR="007F1877">
        <w:t>eview</w:t>
      </w:r>
      <w:r w:rsidR="008569B3">
        <w:t xml:space="preserve"> the</w:t>
      </w:r>
      <w:r w:rsidR="007F1877">
        <w:t xml:space="preserve"> vendor service level agreement</w:t>
      </w:r>
      <w:r w:rsidR="00354E54">
        <w:t xml:space="preserve"> </w:t>
      </w:r>
      <w:r w:rsidR="00B7435A">
        <w:t>to</w:t>
      </w:r>
      <w:r w:rsidR="008569B3">
        <w:t xml:space="preserve"> understand </w:t>
      </w:r>
      <w:r w:rsidR="00B7435A">
        <w:t>expectation</w:t>
      </w:r>
      <w:r w:rsidR="008569B3">
        <w:t>s</w:t>
      </w:r>
      <w:r w:rsidR="00225DA8">
        <w:t xml:space="preserve"> </w:t>
      </w:r>
      <w:r w:rsidR="00B7435A">
        <w:t xml:space="preserve">for both </w:t>
      </w:r>
      <w:r w:rsidR="00DF3CFA">
        <w:t xml:space="preserve">service provider </w:t>
      </w:r>
      <w:r w:rsidR="00B7435A">
        <w:t>and customer</w:t>
      </w:r>
      <w:r w:rsidR="00DF3CFA">
        <w:t>.</w:t>
      </w:r>
      <w:r w:rsidR="008569B3">
        <w:t xml:space="preserve"> </w:t>
      </w:r>
      <w:r w:rsidR="00D94253">
        <w:t xml:space="preserve"> </w:t>
      </w:r>
    </w:p>
    <w:p w14:paraId="4C327F6A" w14:textId="61724A7C" w:rsidR="00354E54" w:rsidRDefault="00354E54" w:rsidP="00452E47">
      <w:pPr>
        <w:pStyle w:val="ListParagraph"/>
        <w:numPr>
          <w:ilvl w:val="0"/>
          <w:numId w:val="24"/>
        </w:numPr>
      </w:pPr>
      <w:r w:rsidRPr="00354E54">
        <w:lastRenderedPageBreak/>
        <w:t>Identify critical records and prioritise their recovery</w:t>
      </w:r>
      <w:r>
        <w:t>.</w:t>
      </w:r>
    </w:p>
    <w:p w14:paraId="5DB8D0AA" w14:textId="77777777" w:rsidR="009305DB" w:rsidRDefault="00795DC6" w:rsidP="00273F09">
      <w:pPr>
        <w:pStyle w:val="ListParagraph"/>
        <w:numPr>
          <w:ilvl w:val="1"/>
          <w:numId w:val="24"/>
        </w:numPr>
      </w:pPr>
      <w:r>
        <w:t xml:space="preserve">Use the TRO advice on </w:t>
      </w:r>
      <w:hyperlink r:id="rId10" w:history="1">
        <w:r w:rsidRPr="00795DC6">
          <w:rPr>
            <w:rStyle w:val="Hyperlink"/>
          </w:rPr>
          <w:t>Vital Records</w:t>
        </w:r>
      </w:hyperlink>
      <w:r>
        <w:t xml:space="preserve"> to identify records which are most critical to the operation of the agency. </w:t>
      </w:r>
    </w:p>
    <w:p w14:paraId="252D7A6F" w14:textId="6863F4F2" w:rsidR="00795DC6" w:rsidRDefault="001B2B0A" w:rsidP="00273F09">
      <w:pPr>
        <w:pStyle w:val="ListParagraph"/>
        <w:numPr>
          <w:ilvl w:val="1"/>
          <w:numId w:val="24"/>
        </w:numPr>
      </w:pPr>
      <w:r>
        <w:t xml:space="preserve">Create a list of Vital Records </w:t>
      </w:r>
      <w:r w:rsidR="00354E54" w:rsidRPr="00354E54">
        <w:t>and their locations</w:t>
      </w:r>
      <w:r>
        <w:t xml:space="preserve">. </w:t>
      </w:r>
    </w:p>
    <w:p w14:paraId="3A239B6A" w14:textId="68CE4944" w:rsidR="00354E54" w:rsidRPr="00354E54" w:rsidRDefault="001B2B0A" w:rsidP="00452E47">
      <w:pPr>
        <w:pStyle w:val="ListParagraph"/>
        <w:numPr>
          <w:ilvl w:val="1"/>
          <w:numId w:val="24"/>
        </w:numPr>
      </w:pPr>
      <w:r>
        <w:t xml:space="preserve">Create </w:t>
      </w:r>
      <w:r w:rsidR="00354E54" w:rsidRPr="00354E54">
        <w:t xml:space="preserve">an action plan to ensure </w:t>
      </w:r>
      <w:r w:rsidR="009305DB">
        <w:t xml:space="preserve">Vital Records </w:t>
      </w:r>
      <w:r w:rsidR="00354E54" w:rsidRPr="00354E54">
        <w:t xml:space="preserve">are prioritised during disaster recovery efforts. This should form part of </w:t>
      </w:r>
      <w:r w:rsidR="00225DA8">
        <w:t xml:space="preserve">the agency </w:t>
      </w:r>
      <w:r w:rsidR="00354E54" w:rsidRPr="00354E54">
        <w:t>Records Management Program.</w:t>
      </w:r>
    </w:p>
    <w:p w14:paraId="7CEC43C7" w14:textId="3698B0D5" w:rsidR="00354E54" w:rsidRDefault="00B127AF" w:rsidP="00452E47">
      <w:pPr>
        <w:pStyle w:val="ListParagraph"/>
        <w:numPr>
          <w:ilvl w:val="0"/>
          <w:numId w:val="24"/>
        </w:numPr>
      </w:pPr>
      <w:r>
        <w:t xml:space="preserve">Assess records storage locations and vulnerable </w:t>
      </w:r>
      <w:r w:rsidR="00354E54" w:rsidRPr="00354E54">
        <w:t xml:space="preserve">areas of the </w:t>
      </w:r>
      <w:r w:rsidR="001B2B0A">
        <w:t>agency</w:t>
      </w:r>
      <w:r w:rsidR="00354E54">
        <w:t>.</w:t>
      </w:r>
    </w:p>
    <w:p w14:paraId="080123A3" w14:textId="56008CBA" w:rsidR="001B2B0A" w:rsidRDefault="00354E54" w:rsidP="00452E47">
      <w:pPr>
        <w:pStyle w:val="ListParagraph"/>
        <w:numPr>
          <w:ilvl w:val="1"/>
          <w:numId w:val="24"/>
        </w:numPr>
      </w:pPr>
      <w:r w:rsidRPr="00354E54">
        <w:t xml:space="preserve">Assess </w:t>
      </w:r>
      <w:r w:rsidR="001B2B0A">
        <w:t xml:space="preserve">locations and teams within the agency </w:t>
      </w:r>
      <w:r w:rsidRPr="00354E54">
        <w:t>to identify vulnerabilities</w:t>
      </w:r>
      <w:r w:rsidR="001B2B0A">
        <w:t xml:space="preserve"> and potential improvements. This could include storage </w:t>
      </w:r>
      <w:r w:rsidRPr="00354E54">
        <w:t xml:space="preserve">locations, </w:t>
      </w:r>
      <w:r w:rsidR="001B2B0A">
        <w:t xml:space="preserve">facilities, equipment, resources and staffing arrangements. </w:t>
      </w:r>
    </w:p>
    <w:p w14:paraId="298D77D7" w14:textId="77777777" w:rsidR="001B2B0A" w:rsidRDefault="001B2B0A" w:rsidP="00452E47">
      <w:pPr>
        <w:pStyle w:val="ListParagraph"/>
        <w:numPr>
          <w:ilvl w:val="1"/>
          <w:numId w:val="24"/>
        </w:numPr>
      </w:pPr>
      <w:r>
        <w:t xml:space="preserve">Where possible, move records out of vulnerable locations as part of </w:t>
      </w:r>
      <w:r w:rsidR="00354E54" w:rsidRPr="00354E54">
        <w:t xml:space="preserve">mitigation and prevention efforts. </w:t>
      </w:r>
    </w:p>
    <w:p w14:paraId="186980BB" w14:textId="4C488A57" w:rsidR="00354E54" w:rsidRPr="00354E54" w:rsidRDefault="00354E54" w:rsidP="00B20200">
      <w:pPr>
        <w:pStyle w:val="ListParagraph"/>
        <w:numPr>
          <w:ilvl w:val="1"/>
          <w:numId w:val="24"/>
        </w:numPr>
      </w:pPr>
      <w:r w:rsidRPr="00354E54">
        <w:t xml:space="preserve">The </w:t>
      </w:r>
      <w:r w:rsidR="009305DB">
        <w:t>TRO</w:t>
      </w:r>
      <w:r w:rsidR="000661C3">
        <w:t xml:space="preserve"> </w:t>
      </w:r>
      <w:hyperlink r:id="rId11" w:history="1">
        <w:r w:rsidR="000661C3" w:rsidRPr="000661C3">
          <w:rPr>
            <w:rStyle w:val="Hyperlink"/>
          </w:rPr>
          <w:t>Guideline on the Protect Principle</w:t>
        </w:r>
      </w:hyperlink>
      <w:r w:rsidR="000661C3">
        <w:t xml:space="preserve"> </w:t>
      </w:r>
      <w:r w:rsidRPr="00354E54">
        <w:t xml:space="preserve">requires </w:t>
      </w:r>
      <w:r w:rsidR="009305DB">
        <w:t xml:space="preserve">agencies </w:t>
      </w:r>
      <w:r w:rsidRPr="00354E54">
        <w:t xml:space="preserve">to </w:t>
      </w:r>
      <w:r w:rsidR="000661C3">
        <w:t xml:space="preserve">store records in endorsed locations. The knowledge of where </w:t>
      </w:r>
      <w:r w:rsidR="009305DB" w:rsidRPr="009305DB">
        <w:t>records</w:t>
      </w:r>
      <w:r w:rsidR="000661C3">
        <w:t xml:space="preserve"> are located will</w:t>
      </w:r>
      <w:r w:rsidRPr="00354E54">
        <w:t xml:space="preserve"> assist in disaster planning and response. </w:t>
      </w:r>
    </w:p>
    <w:p w14:paraId="4DC3A50D" w14:textId="467D4590" w:rsidR="00452E47" w:rsidRDefault="001C608B" w:rsidP="00452E47">
      <w:pPr>
        <w:pStyle w:val="ListParagraph"/>
        <w:numPr>
          <w:ilvl w:val="0"/>
          <w:numId w:val="24"/>
        </w:numPr>
      </w:pPr>
      <w:r>
        <w:t xml:space="preserve">Develop a </w:t>
      </w:r>
      <w:r w:rsidR="00452E47">
        <w:t xml:space="preserve">preventative </w:t>
      </w:r>
      <w:r>
        <w:t>plan</w:t>
      </w:r>
      <w:r w:rsidR="00452E47">
        <w:t xml:space="preserve">. </w:t>
      </w:r>
    </w:p>
    <w:p w14:paraId="62EBCEA9" w14:textId="77777777" w:rsidR="001C608B" w:rsidRDefault="001C608B" w:rsidP="00452E47">
      <w:pPr>
        <w:pStyle w:val="ListParagraph"/>
        <w:numPr>
          <w:ilvl w:val="1"/>
          <w:numId w:val="24"/>
        </w:numPr>
      </w:pPr>
      <w:r>
        <w:t xml:space="preserve">Preventative strategies </w:t>
      </w:r>
      <w:r w:rsidR="000661C3">
        <w:t xml:space="preserve">include </w:t>
      </w:r>
      <w:r w:rsidR="00452E47" w:rsidRPr="00354E54">
        <w:t xml:space="preserve">pest control, maintenance of storage areas, </w:t>
      </w:r>
      <w:r w:rsidR="00A841FA">
        <w:t xml:space="preserve">checks of disaster supplies, </w:t>
      </w:r>
      <w:r w:rsidR="00452E47" w:rsidRPr="00354E54">
        <w:t xml:space="preserve">and monitoring and control measures for temperature and humidity levels. </w:t>
      </w:r>
    </w:p>
    <w:p w14:paraId="24104E4D" w14:textId="14ECFE7D" w:rsidR="00C8770D" w:rsidRDefault="00C8770D" w:rsidP="00452E47">
      <w:pPr>
        <w:pStyle w:val="ListParagraph"/>
        <w:numPr>
          <w:ilvl w:val="1"/>
          <w:numId w:val="24"/>
        </w:numPr>
      </w:pPr>
      <w:r>
        <w:t xml:space="preserve">Schedule regular checks over the course of a year. A </w:t>
      </w:r>
      <w:hyperlink r:id="rId12" w:history="1">
        <w:r w:rsidRPr="00A841FA">
          <w:rPr>
            <w:rStyle w:val="Hyperlink"/>
          </w:rPr>
          <w:t>Disaster Preparedness Calendar</w:t>
        </w:r>
      </w:hyperlink>
      <w:r>
        <w:t xml:space="preserve"> can assist with planning.</w:t>
      </w:r>
    </w:p>
    <w:p w14:paraId="33196314" w14:textId="7381BBEE" w:rsidR="000661C3" w:rsidRDefault="00A841FA" w:rsidP="00452E47">
      <w:pPr>
        <w:pStyle w:val="ListParagraph"/>
        <w:numPr>
          <w:ilvl w:val="1"/>
          <w:numId w:val="24"/>
        </w:numPr>
      </w:pPr>
      <w:r w:rsidRPr="00354E54">
        <w:t>Other important preventative measures include ensuring that records are kept in boxes on shelves and not stored on the floor.</w:t>
      </w:r>
    </w:p>
    <w:p w14:paraId="6B55D811" w14:textId="2E4113FE" w:rsidR="007A1904" w:rsidRDefault="00A841FA" w:rsidP="008B73D7">
      <w:pPr>
        <w:pStyle w:val="ListParagraph"/>
        <w:numPr>
          <w:ilvl w:val="1"/>
          <w:numId w:val="24"/>
        </w:numPr>
      </w:pPr>
      <w:r>
        <w:t xml:space="preserve">Consult </w:t>
      </w:r>
      <w:r w:rsidR="00452E47" w:rsidRPr="00354E54">
        <w:t xml:space="preserve">with Work Health and Safety experts in identifying and assessing workplace hazards to ensure </w:t>
      </w:r>
      <w:r>
        <w:t xml:space="preserve">the agency </w:t>
      </w:r>
      <w:r w:rsidR="00452E47" w:rsidRPr="00354E54">
        <w:t>complies with health and safety regulations</w:t>
      </w:r>
      <w:r w:rsidR="007A1904">
        <w:t xml:space="preserve"> and </w:t>
      </w:r>
      <w:r w:rsidR="00452E47" w:rsidRPr="00354E54">
        <w:t>mitigate</w:t>
      </w:r>
      <w:r w:rsidR="007A1904">
        <w:t>s</w:t>
      </w:r>
      <w:r w:rsidR="00452E47" w:rsidRPr="00354E54">
        <w:t xml:space="preserve"> these risks.</w:t>
      </w:r>
    </w:p>
    <w:p w14:paraId="10660582" w14:textId="59114D3A" w:rsidR="007A1904" w:rsidRPr="00354E54" w:rsidRDefault="007A1904" w:rsidP="008B73D7">
      <w:pPr>
        <w:pStyle w:val="ListParagraph"/>
        <w:numPr>
          <w:ilvl w:val="1"/>
          <w:numId w:val="24"/>
        </w:numPr>
      </w:pPr>
      <w:r>
        <w:t>Ensure disaster recovery equipment is available</w:t>
      </w:r>
      <w:r w:rsidR="001C608B">
        <w:t xml:space="preserve"> and easily deployed. A designated </w:t>
      </w:r>
      <w:r>
        <w:t>wheelie bin</w:t>
      </w:r>
      <w:r w:rsidR="001C608B">
        <w:t xml:space="preserve"> can </w:t>
      </w:r>
      <w:r w:rsidR="00D564BE">
        <w:t>provide</w:t>
      </w:r>
      <w:r w:rsidR="001C608B">
        <w:t xml:space="preserve"> a useful disaster recovery kit</w:t>
      </w:r>
      <w:r>
        <w:t xml:space="preserve">. </w:t>
      </w:r>
    </w:p>
    <w:p w14:paraId="7B24DC69" w14:textId="286E727E" w:rsidR="0074558C" w:rsidRDefault="0074558C" w:rsidP="0074558C">
      <w:pPr>
        <w:pStyle w:val="ListParagraph"/>
        <w:numPr>
          <w:ilvl w:val="0"/>
          <w:numId w:val="24"/>
        </w:numPr>
      </w:pPr>
      <w:r w:rsidRPr="001C608B">
        <w:t>Assign r</w:t>
      </w:r>
      <w:r w:rsidR="00DC23CC">
        <w:t>oles and r</w:t>
      </w:r>
      <w:r w:rsidRPr="001C608B">
        <w:t xml:space="preserve">esponsibilities. </w:t>
      </w:r>
    </w:p>
    <w:p w14:paraId="097E3543" w14:textId="7117B4EF" w:rsidR="001C608B" w:rsidRDefault="001C608B" w:rsidP="001C608B">
      <w:pPr>
        <w:pStyle w:val="ListParagraph"/>
        <w:numPr>
          <w:ilvl w:val="1"/>
          <w:numId w:val="24"/>
        </w:numPr>
      </w:pPr>
      <w:r>
        <w:t xml:space="preserve">Develop a register of key staff to ensure that </w:t>
      </w:r>
      <w:r w:rsidR="00DC23CC">
        <w:t xml:space="preserve">there are enough people to respond during an emergency. </w:t>
      </w:r>
    </w:p>
    <w:p w14:paraId="38986092" w14:textId="589825D6" w:rsidR="00DC23CC" w:rsidRPr="00DC23CC" w:rsidRDefault="00DC23CC" w:rsidP="001C608B">
      <w:pPr>
        <w:pStyle w:val="ListParagraph"/>
        <w:numPr>
          <w:ilvl w:val="1"/>
          <w:numId w:val="24"/>
        </w:numPr>
      </w:pPr>
      <w:r>
        <w:t xml:space="preserve">Ensure there is enough flexibility to allow for some staff being unavailable, for </w:t>
      </w:r>
      <w:r w:rsidRPr="00DC23CC">
        <w:t xml:space="preserve">example if a wide-scale disaster is affecting them at home. </w:t>
      </w:r>
    </w:p>
    <w:p w14:paraId="01FD6F7E" w14:textId="364202D5" w:rsidR="008F725A" w:rsidRDefault="008F725A" w:rsidP="00452E47">
      <w:pPr>
        <w:pStyle w:val="ListParagraph"/>
        <w:numPr>
          <w:ilvl w:val="0"/>
          <w:numId w:val="24"/>
        </w:numPr>
      </w:pPr>
      <w:r>
        <w:t xml:space="preserve">Identify stakeholders. </w:t>
      </w:r>
    </w:p>
    <w:p w14:paraId="24293392" w14:textId="2A928EE2" w:rsidR="008F725A" w:rsidRDefault="008F725A" w:rsidP="008F725A">
      <w:pPr>
        <w:pStyle w:val="ListParagraph"/>
        <w:numPr>
          <w:ilvl w:val="1"/>
          <w:numId w:val="24"/>
        </w:numPr>
      </w:pPr>
      <w:r>
        <w:t>This</w:t>
      </w:r>
      <w:r w:rsidR="0041307F">
        <w:t xml:space="preserve"> could</w:t>
      </w:r>
      <w:r>
        <w:t xml:space="preserve"> include </w:t>
      </w:r>
      <w:r w:rsidRPr="00744273">
        <w:t>employees, management,</w:t>
      </w:r>
      <w:r>
        <w:t xml:space="preserve"> </w:t>
      </w:r>
      <w:r w:rsidR="0041307F">
        <w:t xml:space="preserve">ACT </w:t>
      </w:r>
      <w:r w:rsidR="0041307F" w:rsidRPr="00AE5089">
        <w:t>Insurance Authority</w:t>
      </w:r>
      <w:r w:rsidRPr="00AE5089">
        <w:t xml:space="preserve">, </w:t>
      </w:r>
      <w:r w:rsidR="0041307F" w:rsidRPr="00AE5089">
        <w:t>Territory Records Office</w:t>
      </w:r>
      <w:r w:rsidRPr="00AE5089">
        <w:t xml:space="preserve">, </w:t>
      </w:r>
      <w:r w:rsidR="0041307F" w:rsidRPr="00AE5089">
        <w:t>WorkSafe</w:t>
      </w:r>
      <w:r w:rsidR="0041307F">
        <w:t xml:space="preserve"> ACT</w:t>
      </w:r>
      <w:r>
        <w:t xml:space="preserve">, </w:t>
      </w:r>
      <w:r w:rsidRPr="00744273">
        <w:t xml:space="preserve">and </w:t>
      </w:r>
      <w:r>
        <w:t xml:space="preserve">the </w:t>
      </w:r>
      <w:r w:rsidR="0041307F" w:rsidRPr="00AE5089">
        <w:t xml:space="preserve">ACT Emergency </w:t>
      </w:r>
      <w:r w:rsidR="0041307F">
        <w:t>S</w:t>
      </w:r>
      <w:r w:rsidR="0041307F" w:rsidRPr="00AE5089">
        <w:t>ervice</w:t>
      </w:r>
      <w:r w:rsidR="0041307F">
        <w:t>s</w:t>
      </w:r>
      <w:r w:rsidR="0041307F" w:rsidRPr="00AE5089">
        <w:t xml:space="preserve"> Agency</w:t>
      </w:r>
      <w:r w:rsidRPr="00AE5089">
        <w:t>.</w:t>
      </w:r>
      <w:r w:rsidRPr="00744273">
        <w:t xml:space="preserve"> </w:t>
      </w:r>
    </w:p>
    <w:p w14:paraId="713F9B2D" w14:textId="3561BF87" w:rsidR="00452E47" w:rsidRPr="00DC23CC" w:rsidRDefault="00452E47" w:rsidP="00452E47">
      <w:pPr>
        <w:pStyle w:val="ListParagraph"/>
        <w:numPr>
          <w:ilvl w:val="0"/>
          <w:numId w:val="24"/>
        </w:numPr>
      </w:pPr>
      <w:r w:rsidRPr="00DC23CC">
        <w:t>Develop Standard Operating Procedures</w:t>
      </w:r>
      <w:r w:rsidR="00DC23CC" w:rsidRPr="00DC23CC">
        <w:t xml:space="preserve"> (SOPs)</w:t>
      </w:r>
      <w:r w:rsidRPr="00DC23CC">
        <w:t xml:space="preserve">. </w:t>
      </w:r>
    </w:p>
    <w:p w14:paraId="23E76A7D" w14:textId="0AF3C96B" w:rsidR="00FB4BF3" w:rsidRPr="00DC23CC" w:rsidRDefault="00DC23CC" w:rsidP="00EC6FD0">
      <w:pPr>
        <w:pStyle w:val="ListParagraph"/>
        <w:numPr>
          <w:ilvl w:val="1"/>
          <w:numId w:val="24"/>
        </w:numPr>
      </w:pPr>
      <w:r>
        <w:t xml:space="preserve">Create SOPs for </w:t>
      </w:r>
      <w:r w:rsidRPr="00DC23CC">
        <w:t>d</w:t>
      </w:r>
      <w:r w:rsidR="00452E47" w:rsidRPr="00DC23CC">
        <w:t xml:space="preserve">ifferent </w:t>
      </w:r>
      <w:r>
        <w:t xml:space="preserve">disaster </w:t>
      </w:r>
      <w:r w:rsidR="00452E47" w:rsidRPr="00DC23CC">
        <w:t>scenarios</w:t>
      </w:r>
      <w:r>
        <w:t xml:space="preserve">, eg water damage, fire. </w:t>
      </w:r>
    </w:p>
    <w:p w14:paraId="6614D69C" w14:textId="2A7597A7" w:rsidR="00354E54" w:rsidRPr="00C8770D" w:rsidRDefault="00FB4BF3" w:rsidP="00FB4BF3">
      <w:pPr>
        <w:pStyle w:val="ListParagraph"/>
        <w:numPr>
          <w:ilvl w:val="0"/>
          <w:numId w:val="24"/>
        </w:numPr>
      </w:pPr>
      <w:r w:rsidRPr="00DC23CC">
        <w:t xml:space="preserve">Compile a </w:t>
      </w:r>
      <w:r w:rsidR="00225DA8" w:rsidRPr="00DC23CC">
        <w:t>Disaster Recovery</w:t>
      </w:r>
      <w:r w:rsidR="00225DA8" w:rsidRPr="00C8770D">
        <w:t xml:space="preserve"> Manual</w:t>
      </w:r>
      <w:r w:rsidR="00C8770D" w:rsidRPr="00C8770D">
        <w:t>.</w:t>
      </w:r>
    </w:p>
    <w:p w14:paraId="19171718" w14:textId="16D35304" w:rsidR="0074558C" w:rsidRDefault="005A44C3" w:rsidP="0074558C">
      <w:pPr>
        <w:pStyle w:val="ListParagraph"/>
        <w:numPr>
          <w:ilvl w:val="1"/>
          <w:numId w:val="25"/>
        </w:numPr>
      </w:pPr>
      <w:r>
        <w:t xml:space="preserve">It </w:t>
      </w:r>
      <w:r w:rsidR="0074558C" w:rsidRPr="00354E54">
        <w:t xml:space="preserve">should </w:t>
      </w:r>
      <w:r w:rsidR="001C608B">
        <w:t>be straightforward</w:t>
      </w:r>
      <w:r>
        <w:t xml:space="preserve">, </w:t>
      </w:r>
      <w:r w:rsidR="001C608B">
        <w:t>easy to use</w:t>
      </w:r>
      <w:r w:rsidR="00DC23CC">
        <w:t xml:space="preserve"> in an emergency</w:t>
      </w:r>
      <w:r>
        <w:t xml:space="preserve">, and </w:t>
      </w:r>
      <w:r w:rsidR="001C608B">
        <w:t xml:space="preserve">should </w:t>
      </w:r>
      <w:r w:rsidR="0074558C" w:rsidRPr="00354E54">
        <w:t xml:space="preserve">include: </w:t>
      </w:r>
    </w:p>
    <w:p w14:paraId="4E3BD1A9" w14:textId="02BE4071" w:rsidR="0074558C" w:rsidRDefault="0074558C" w:rsidP="0074558C">
      <w:pPr>
        <w:pStyle w:val="ListParagraph"/>
        <w:numPr>
          <w:ilvl w:val="2"/>
          <w:numId w:val="25"/>
        </w:numPr>
      </w:pPr>
      <w:r>
        <w:t>Disaster response roles and contact information</w:t>
      </w:r>
    </w:p>
    <w:p w14:paraId="448F5A8D" w14:textId="502AC1AF" w:rsidR="00C8770D" w:rsidRDefault="00C8770D" w:rsidP="00C8770D">
      <w:pPr>
        <w:pStyle w:val="ListParagraph"/>
        <w:numPr>
          <w:ilvl w:val="2"/>
          <w:numId w:val="25"/>
        </w:numPr>
      </w:pPr>
      <w:r>
        <w:t>E</w:t>
      </w:r>
      <w:r w:rsidRPr="00744273">
        <w:t>mergency contact</w:t>
      </w:r>
      <w:r>
        <w:t>s details for essential services</w:t>
      </w:r>
    </w:p>
    <w:p w14:paraId="65FE4EC2" w14:textId="55BFAA89" w:rsidR="0074558C" w:rsidRDefault="0074558C" w:rsidP="0074558C">
      <w:pPr>
        <w:pStyle w:val="ListParagraph"/>
        <w:numPr>
          <w:ilvl w:val="2"/>
          <w:numId w:val="25"/>
        </w:numPr>
      </w:pPr>
      <w:r>
        <w:t xml:space="preserve">List of service providers to assist </w:t>
      </w:r>
    </w:p>
    <w:p w14:paraId="1BE389D9" w14:textId="77777777" w:rsidR="0074558C" w:rsidRDefault="0074558C" w:rsidP="0074558C">
      <w:pPr>
        <w:pStyle w:val="ListParagraph"/>
        <w:numPr>
          <w:ilvl w:val="2"/>
          <w:numId w:val="25"/>
        </w:numPr>
      </w:pPr>
      <w:r>
        <w:t>Vital records list</w:t>
      </w:r>
    </w:p>
    <w:p w14:paraId="0FF6B597" w14:textId="6F790B03" w:rsidR="0074558C" w:rsidRDefault="0074558C" w:rsidP="0074558C">
      <w:pPr>
        <w:pStyle w:val="ListParagraph"/>
        <w:numPr>
          <w:ilvl w:val="2"/>
          <w:numId w:val="25"/>
        </w:numPr>
      </w:pPr>
      <w:r>
        <w:t xml:space="preserve">Location of </w:t>
      </w:r>
      <w:r w:rsidR="007A1904">
        <w:t>disaster recovery supplies</w:t>
      </w:r>
    </w:p>
    <w:p w14:paraId="4F4ED3B8" w14:textId="4976F57B" w:rsidR="007A1904" w:rsidRDefault="007A1904" w:rsidP="004C5653">
      <w:pPr>
        <w:pStyle w:val="ListParagraph"/>
        <w:numPr>
          <w:ilvl w:val="2"/>
          <w:numId w:val="25"/>
        </w:numPr>
      </w:pPr>
      <w:r>
        <w:t>SOPs</w:t>
      </w:r>
      <w:r w:rsidR="005A44C3">
        <w:t>.</w:t>
      </w:r>
    </w:p>
    <w:p w14:paraId="2B23FDCF" w14:textId="7F77CB7A" w:rsidR="00C8770D" w:rsidRDefault="00C8770D" w:rsidP="007A1904">
      <w:pPr>
        <w:pStyle w:val="ListParagraph"/>
        <w:numPr>
          <w:ilvl w:val="1"/>
          <w:numId w:val="25"/>
        </w:numPr>
      </w:pPr>
      <w:r>
        <w:lastRenderedPageBreak/>
        <w:t xml:space="preserve">Ensure </w:t>
      </w:r>
      <w:r w:rsidR="00D564BE">
        <w:t xml:space="preserve">both </w:t>
      </w:r>
      <w:r w:rsidR="00237F47">
        <w:t xml:space="preserve">hard-copy </w:t>
      </w:r>
      <w:r w:rsidR="00D564BE">
        <w:t xml:space="preserve">and digital </w:t>
      </w:r>
      <w:r>
        <w:t>manual</w:t>
      </w:r>
      <w:r w:rsidR="00D564BE">
        <w:t>s</w:t>
      </w:r>
      <w:r>
        <w:t xml:space="preserve"> </w:t>
      </w:r>
      <w:r w:rsidR="00D564BE">
        <w:t>are</w:t>
      </w:r>
      <w:r>
        <w:t xml:space="preserve"> available</w:t>
      </w:r>
      <w:r w:rsidR="007A1904">
        <w:t xml:space="preserve"> in appropriate locations</w:t>
      </w:r>
      <w:r>
        <w:t xml:space="preserve">. </w:t>
      </w:r>
    </w:p>
    <w:p w14:paraId="1CB32A77" w14:textId="78B94E0F" w:rsidR="00FB4BF3" w:rsidRDefault="00C776C5" w:rsidP="00FB4BF3">
      <w:pPr>
        <w:pStyle w:val="ListParagraph"/>
        <w:numPr>
          <w:ilvl w:val="0"/>
          <w:numId w:val="24"/>
        </w:numPr>
      </w:pPr>
      <w:r>
        <w:t xml:space="preserve">Promote the plan and conduct </w:t>
      </w:r>
      <w:r w:rsidR="00FB4BF3">
        <w:t>t</w:t>
      </w:r>
      <w:r w:rsidR="00452E47">
        <w:t>raining</w:t>
      </w:r>
      <w:r w:rsidR="00FB4BF3">
        <w:t xml:space="preserve">. </w:t>
      </w:r>
    </w:p>
    <w:p w14:paraId="68847F54" w14:textId="5C19D6D0" w:rsidR="00675E56" w:rsidRDefault="00C776C5" w:rsidP="006E071E">
      <w:pPr>
        <w:pStyle w:val="ListParagraph"/>
        <w:numPr>
          <w:ilvl w:val="1"/>
          <w:numId w:val="24"/>
        </w:numPr>
      </w:pPr>
      <w:r>
        <w:t xml:space="preserve">Ensure all </w:t>
      </w:r>
      <w:r w:rsidR="00D564BE">
        <w:t xml:space="preserve">relevant </w:t>
      </w:r>
      <w:r>
        <w:t xml:space="preserve">staff are aware of the plan. </w:t>
      </w:r>
    </w:p>
    <w:p w14:paraId="5EC3E4A7" w14:textId="7A9CB6EF" w:rsidR="00C776C5" w:rsidRDefault="0074558C" w:rsidP="006E071E">
      <w:pPr>
        <w:pStyle w:val="ListParagraph"/>
        <w:numPr>
          <w:ilvl w:val="1"/>
          <w:numId w:val="24"/>
        </w:numPr>
      </w:pPr>
      <w:r w:rsidRPr="00354E54">
        <w:t xml:space="preserve">Conduct training sessions </w:t>
      </w:r>
      <w:r w:rsidR="00C776C5">
        <w:t xml:space="preserve">for new staff and </w:t>
      </w:r>
      <w:r w:rsidR="00675E56">
        <w:t xml:space="preserve">regular </w:t>
      </w:r>
      <w:r w:rsidR="00C776C5">
        <w:t xml:space="preserve">refresher sessions for all staff. </w:t>
      </w:r>
      <w:r w:rsidR="00675E56">
        <w:t xml:space="preserve">For staff with particular responsibilities, this could include recovery drills and simulations to ensure they are confident in handling different scenarios. </w:t>
      </w:r>
    </w:p>
    <w:p w14:paraId="56C29055" w14:textId="6BF52882" w:rsidR="00675E56" w:rsidRDefault="00675E56" w:rsidP="00FB4BF3">
      <w:pPr>
        <w:pStyle w:val="ListParagraph"/>
        <w:numPr>
          <w:ilvl w:val="1"/>
          <w:numId w:val="24"/>
        </w:numPr>
      </w:pPr>
      <w:r>
        <w:t>E</w:t>
      </w:r>
      <w:r w:rsidR="0074558C" w:rsidRPr="00354E54">
        <w:t xml:space="preserve">nsure that staff understand and use the </w:t>
      </w:r>
      <w:r>
        <w:t xml:space="preserve">agency’s </w:t>
      </w:r>
      <w:r w:rsidR="0074558C" w:rsidRPr="00354E54">
        <w:t xml:space="preserve">endorsed locations for records storage. </w:t>
      </w:r>
    </w:p>
    <w:p w14:paraId="6A060D36" w14:textId="622F970C" w:rsidR="00452E47" w:rsidRDefault="0074558C" w:rsidP="00FB4BF3">
      <w:pPr>
        <w:pStyle w:val="ListParagraph"/>
        <w:numPr>
          <w:ilvl w:val="1"/>
          <w:numId w:val="24"/>
        </w:numPr>
      </w:pPr>
      <w:r w:rsidRPr="00354E54">
        <w:t>Evaluate staff knowledge and skills to identify additional training needs in disaster preparedness.</w:t>
      </w:r>
    </w:p>
    <w:p w14:paraId="4A8089B4" w14:textId="583D99E0" w:rsidR="00FB4BF3" w:rsidRDefault="001C608B" w:rsidP="00FB4BF3">
      <w:pPr>
        <w:pStyle w:val="ListParagraph"/>
        <w:numPr>
          <w:ilvl w:val="0"/>
          <w:numId w:val="24"/>
        </w:numPr>
      </w:pPr>
      <w:r>
        <w:t xml:space="preserve">Ensure the plan remains </w:t>
      </w:r>
      <w:r w:rsidR="0041307F">
        <w:t>current</w:t>
      </w:r>
      <w:r>
        <w:t xml:space="preserve">. </w:t>
      </w:r>
    </w:p>
    <w:p w14:paraId="49ED1CB4" w14:textId="77777777" w:rsidR="001C608B" w:rsidRDefault="001C608B" w:rsidP="00FB4BF3">
      <w:pPr>
        <w:pStyle w:val="ListParagraph"/>
        <w:numPr>
          <w:ilvl w:val="1"/>
          <w:numId w:val="24"/>
        </w:numPr>
      </w:pPr>
      <w:r>
        <w:t xml:space="preserve">Conduct regular reviews of the disaster plan. </w:t>
      </w:r>
    </w:p>
    <w:p w14:paraId="0F71C604" w14:textId="19B82EEE" w:rsidR="00452E47" w:rsidRDefault="00675E56" w:rsidP="00FB4BF3">
      <w:pPr>
        <w:pStyle w:val="ListParagraph"/>
        <w:numPr>
          <w:ilvl w:val="1"/>
          <w:numId w:val="24"/>
        </w:numPr>
      </w:pPr>
      <w:r>
        <w:t xml:space="preserve">Review the </w:t>
      </w:r>
      <w:r w:rsidR="0074558C" w:rsidRPr="0074558C">
        <w:t>plan before periods of staff absence (e.g. Christmas shutdown), and high-risk periods for extreme weather events.</w:t>
      </w:r>
    </w:p>
    <w:p w14:paraId="4A3E5F55" w14:textId="38B0A545" w:rsidR="00586FA5" w:rsidRDefault="00675E56" w:rsidP="001C608B">
      <w:pPr>
        <w:pStyle w:val="Heading1"/>
      </w:pPr>
      <w:r>
        <w:t>During a disaster: How to respond</w:t>
      </w:r>
    </w:p>
    <w:p w14:paraId="03B20B4D" w14:textId="6A72F022" w:rsidR="00225DA8" w:rsidRDefault="0074558C" w:rsidP="00225DA8">
      <w:pPr>
        <w:pStyle w:val="ListParagraph"/>
        <w:numPr>
          <w:ilvl w:val="0"/>
          <w:numId w:val="23"/>
        </w:numPr>
      </w:pPr>
      <w:r w:rsidRPr="00331F58">
        <w:t>Survey the scene to ensure it is safe to respond.</w:t>
      </w:r>
    </w:p>
    <w:p w14:paraId="0C3131A4" w14:textId="77777777" w:rsidR="008F725A" w:rsidRDefault="008F725A" w:rsidP="008F725A">
      <w:pPr>
        <w:pStyle w:val="ListParagraph"/>
        <w:numPr>
          <w:ilvl w:val="0"/>
          <w:numId w:val="23"/>
        </w:numPr>
      </w:pPr>
      <w:r w:rsidRPr="00744273">
        <w:t xml:space="preserve">Assess the overall situation to understand the scope of the disaster. </w:t>
      </w:r>
    </w:p>
    <w:p w14:paraId="564A09DD" w14:textId="0910CC03" w:rsidR="008F725A" w:rsidRPr="00744273" w:rsidRDefault="008F725A" w:rsidP="008F725A">
      <w:pPr>
        <w:pStyle w:val="ListParagraph"/>
        <w:numPr>
          <w:ilvl w:val="0"/>
          <w:numId w:val="23"/>
        </w:numPr>
      </w:pPr>
      <w:r w:rsidRPr="00744273">
        <w:t>Stabili</w:t>
      </w:r>
      <w:r>
        <w:t>s</w:t>
      </w:r>
      <w:r w:rsidRPr="00744273">
        <w:t>e the environment to prevent further damage, such as</w:t>
      </w:r>
      <w:r>
        <w:t xml:space="preserve"> </w:t>
      </w:r>
      <w:r w:rsidRPr="00744273">
        <w:t xml:space="preserve">securing the area, controlling leaks, or setting up temporary barriers. </w:t>
      </w:r>
    </w:p>
    <w:p w14:paraId="6E0698DC" w14:textId="575EF129" w:rsidR="0074558C" w:rsidRDefault="00DC23CC" w:rsidP="008F725A">
      <w:pPr>
        <w:pStyle w:val="ListParagraph"/>
        <w:numPr>
          <w:ilvl w:val="0"/>
          <w:numId w:val="23"/>
        </w:numPr>
      </w:pPr>
      <w:r>
        <w:t>Gather e</w:t>
      </w:r>
      <w:r w:rsidR="0074558C" w:rsidRPr="00AE5089">
        <w:t>quipment and resources</w:t>
      </w:r>
      <w:r w:rsidR="008F725A">
        <w:t xml:space="preserve"> needed for the recovery</w:t>
      </w:r>
      <w:r>
        <w:t xml:space="preserve">. </w:t>
      </w:r>
      <w:r w:rsidR="0074558C" w:rsidRPr="00744273">
        <w:t>This includes tools to recover damaged records</w:t>
      </w:r>
      <w:r w:rsidR="008F725A">
        <w:t xml:space="preserve"> and to </w:t>
      </w:r>
      <w:r>
        <w:t xml:space="preserve">prevent further damage, </w:t>
      </w:r>
      <w:r w:rsidR="008F725A">
        <w:t xml:space="preserve">and </w:t>
      </w:r>
      <w:r w:rsidR="0074558C" w:rsidRPr="00744273">
        <w:t>personal protective equipment.</w:t>
      </w:r>
    </w:p>
    <w:p w14:paraId="08C7CD76" w14:textId="2B3EAE41" w:rsidR="00C16F78" w:rsidRPr="00AE5089" w:rsidRDefault="0074558C" w:rsidP="008F725A">
      <w:pPr>
        <w:pStyle w:val="ListParagraph"/>
        <w:numPr>
          <w:ilvl w:val="0"/>
          <w:numId w:val="23"/>
        </w:numPr>
      </w:pPr>
      <w:r>
        <w:t>Record and evaluate the damage</w:t>
      </w:r>
      <w:r w:rsidR="00DC23CC">
        <w:t xml:space="preserve">. </w:t>
      </w:r>
      <w:r w:rsidR="00C16F78" w:rsidRPr="00744273">
        <w:t>Take photographs</w:t>
      </w:r>
      <w:r w:rsidR="008F725A">
        <w:t xml:space="preserve"> </w:t>
      </w:r>
      <w:r w:rsidR="00C16F78" w:rsidRPr="00744273">
        <w:t xml:space="preserve">and collect any other relevant information to evaluate the impact and prioritise recovery of </w:t>
      </w:r>
      <w:hyperlink r:id="rId13" w:history="1">
        <w:r w:rsidR="00C16F78" w:rsidRPr="00AE5089">
          <w:t>vital records</w:t>
        </w:r>
      </w:hyperlink>
      <w:r w:rsidR="00C16F78" w:rsidRPr="00AE5089">
        <w:t>.</w:t>
      </w:r>
    </w:p>
    <w:p w14:paraId="12CC13E5" w14:textId="5AE026C8" w:rsidR="0074558C" w:rsidRDefault="008F725A" w:rsidP="008F725A">
      <w:pPr>
        <w:pStyle w:val="ListParagraph"/>
        <w:numPr>
          <w:ilvl w:val="0"/>
          <w:numId w:val="23"/>
        </w:numPr>
      </w:pPr>
      <w:r>
        <w:t>Ensure a coordinated response by k</w:t>
      </w:r>
      <w:r w:rsidRPr="00744273">
        <w:t xml:space="preserve">eeping </w:t>
      </w:r>
      <w:r>
        <w:t xml:space="preserve">stakeholders </w:t>
      </w:r>
      <w:r w:rsidRPr="00744273">
        <w:t>informed about the situatio</w:t>
      </w:r>
      <w:r>
        <w:t>n</w:t>
      </w:r>
      <w:r w:rsidRPr="00744273">
        <w:t>.</w:t>
      </w:r>
      <w:r>
        <w:t xml:space="preserve"> </w:t>
      </w:r>
    </w:p>
    <w:p w14:paraId="4FD94409" w14:textId="77777777" w:rsidR="0074558C" w:rsidRDefault="0074558C" w:rsidP="008F725A">
      <w:pPr>
        <w:pStyle w:val="ListParagraph"/>
        <w:numPr>
          <w:ilvl w:val="0"/>
          <w:numId w:val="23"/>
        </w:numPr>
      </w:pPr>
      <w:r>
        <w:t>Notify t</w:t>
      </w:r>
      <w:r w:rsidR="001552EA">
        <w:t xml:space="preserve">he Territory Records Office if </w:t>
      </w:r>
      <w:r>
        <w:t xml:space="preserve">any records </w:t>
      </w:r>
      <w:r w:rsidR="001552EA">
        <w:t>are damaged or destroyed</w:t>
      </w:r>
      <w:r>
        <w:t xml:space="preserve">. TRO </w:t>
      </w:r>
      <w:r w:rsidR="001552EA">
        <w:t xml:space="preserve">can provide advice on </w:t>
      </w:r>
      <w:r>
        <w:t xml:space="preserve">specific actions for the </w:t>
      </w:r>
      <w:r w:rsidR="001552EA">
        <w:t xml:space="preserve">event. </w:t>
      </w:r>
    </w:p>
    <w:p w14:paraId="08E40749" w14:textId="4933186C" w:rsidR="001552EA" w:rsidRPr="00AE5089" w:rsidRDefault="001552EA" w:rsidP="008F725A">
      <w:pPr>
        <w:pStyle w:val="ListParagraph"/>
        <w:numPr>
          <w:ilvl w:val="0"/>
          <w:numId w:val="23"/>
        </w:numPr>
      </w:pPr>
      <w:r w:rsidRPr="00744273">
        <w:t>Implement</w:t>
      </w:r>
      <w:r w:rsidR="0041307F">
        <w:t xml:space="preserve"> disaster SOPs</w:t>
      </w:r>
      <w:r w:rsidR="005A44C3">
        <w:rPr>
          <w:rStyle w:val="CommentReference"/>
        </w:rPr>
        <w:t>.</w:t>
      </w:r>
    </w:p>
    <w:p w14:paraId="51E8E255" w14:textId="7ECECCA0" w:rsidR="00586FA5" w:rsidRDefault="00675E56" w:rsidP="001C608B">
      <w:pPr>
        <w:pStyle w:val="Heading1"/>
      </w:pPr>
      <w:r>
        <w:t xml:space="preserve">After a disaster: </w:t>
      </w:r>
      <w:r w:rsidR="001C608B">
        <w:t>Review and assess what happened</w:t>
      </w:r>
      <w:r w:rsidR="00586FA5" w:rsidRPr="00A2391D">
        <w:t xml:space="preserve"> </w:t>
      </w:r>
    </w:p>
    <w:p w14:paraId="77DDEAD7" w14:textId="77777777" w:rsidR="0041307F" w:rsidRDefault="00407CC8" w:rsidP="0041307F">
      <w:pPr>
        <w:pStyle w:val="ListParagraph"/>
        <w:numPr>
          <w:ilvl w:val="0"/>
          <w:numId w:val="27"/>
        </w:numPr>
      </w:pPr>
      <w:r w:rsidRPr="0074558C">
        <w:t xml:space="preserve">Review and </w:t>
      </w:r>
      <w:r w:rsidR="00153FB6" w:rsidRPr="0074558C">
        <w:t>e</w:t>
      </w:r>
      <w:r w:rsidRPr="0074558C">
        <w:t xml:space="preserve">valuate </w:t>
      </w:r>
      <w:r w:rsidR="0041307F">
        <w:t xml:space="preserve">the </w:t>
      </w:r>
      <w:r w:rsidR="00153FB6" w:rsidRPr="0074558C">
        <w:t>r</w:t>
      </w:r>
      <w:r w:rsidRPr="0074558C">
        <w:t xml:space="preserve">ecovery </w:t>
      </w:r>
      <w:r w:rsidRPr="00744273">
        <w:t xml:space="preserve">process to identify what worked well and what could be improved. </w:t>
      </w:r>
      <w:r w:rsidR="00FC5623">
        <w:t xml:space="preserve">Include </w:t>
      </w:r>
      <w:r w:rsidRPr="00744273">
        <w:t>feedback</w:t>
      </w:r>
      <w:r w:rsidR="00FC5623">
        <w:t xml:space="preserve"> from those involved</w:t>
      </w:r>
      <w:r w:rsidRPr="00744273">
        <w:t xml:space="preserve"> to </w:t>
      </w:r>
      <w:r w:rsidR="00FC5623" w:rsidRPr="00744273">
        <w:t>g</w:t>
      </w:r>
      <w:r w:rsidR="00FC5623">
        <w:t>et</w:t>
      </w:r>
      <w:r w:rsidR="00FC5623" w:rsidRPr="00744273">
        <w:t xml:space="preserve"> di</w:t>
      </w:r>
      <w:r w:rsidR="00FC5623">
        <w:t>fferent</w:t>
      </w:r>
      <w:r w:rsidR="00FC5623" w:rsidRPr="00744273">
        <w:t xml:space="preserve"> </w:t>
      </w:r>
      <w:r w:rsidRPr="00744273">
        <w:t>perspective</w:t>
      </w:r>
      <w:r w:rsidR="00FC5623">
        <w:t>s.</w:t>
      </w:r>
    </w:p>
    <w:p w14:paraId="1E66E7EE" w14:textId="321C044E" w:rsidR="00675E56" w:rsidRDefault="00BF2ED5" w:rsidP="0041307F">
      <w:pPr>
        <w:pStyle w:val="ListParagraph"/>
        <w:numPr>
          <w:ilvl w:val="0"/>
          <w:numId w:val="27"/>
        </w:numPr>
      </w:pPr>
      <w:r>
        <w:t>Document</w:t>
      </w:r>
      <w:r w:rsidR="00407CC8" w:rsidRPr="00744273">
        <w:t xml:space="preserve"> lesson</w:t>
      </w:r>
      <w:r w:rsidR="001543FE">
        <w:t>s</w:t>
      </w:r>
      <w:r w:rsidR="00407CC8" w:rsidRPr="00744273">
        <w:t xml:space="preserve"> learned during</w:t>
      </w:r>
      <w:r w:rsidR="001543FE">
        <w:t xml:space="preserve"> the</w:t>
      </w:r>
      <w:r w:rsidR="00407CC8" w:rsidRPr="00744273">
        <w:t xml:space="preserve"> </w:t>
      </w:r>
      <w:r>
        <w:t xml:space="preserve">disaster and </w:t>
      </w:r>
      <w:r w:rsidR="00407CC8" w:rsidRPr="00744273">
        <w:t>recovery process</w:t>
      </w:r>
      <w:r w:rsidR="00675E56">
        <w:t xml:space="preserve">, including </w:t>
      </w:r>
      <w:r w:rsidR="00407CC8" w:rsidRPr="00744273">
        <w:t>success</w:t>
      </w:r>
      <w:r w:rsidR="00675E56">
        <w:t>es</w:t>
      </w:r>
      <w:r w:rsidR="00407CC8" w:rsidRPr="00744273">
        <w:t>, challenges and unexpected issues.</w:t>
      </w:r>
      <w:r w:rsidR="00D14B15" w:rsidRPr="00744273">
        <w:t xml:space="preserve"> </w:t>
      </w:r>
    </w:p>
    <w:p w14:paraId="03611E35" w14:textId="7CF56257" w:rsidR="00D14B15" w:rsidRDefault="00C240BD" w:rsidP="0041307F">
      <w:pPr>
        <w:pStyle w:val="ListParagraph"/>
        <w:numPr>
          <w:ilvl w:val="0"/>
          <w:numId w:val="27"/>
        </w:numPr>
      </w:pPr>
      <w:r w:rsidRPr="0074558C">
        <w:t xml:space="preserve">Assess </w:t>
      </w:r>
      <w:r w:rsidR="0041307F">
        <w:t xml:space="preserve">the </w:t>
      </w:r>
      <w:r w:rsidRPr="0074558C">
        <w:t xml:space="preserve">costs associated with </w:t>
      </w:r>
      <w:r w:rsidR="006946F8">
        <w:t>damage and</w:t>
      </w:r>
      <w:r w:rsidRPr="0074558C">
        <w:t xml:space="preserve"> recovery</w:t>
      </w:r>
      <w:r w:rsidR="0041307F">
        <w:t>, and l</w:t>
      </w:r>
      <w:r w:rsidR="00C750A0">
        <w:t xml:space="preserve">ook at ongoing financial implications. </w:t>
      </w:r>
      <w:r w:rsidR="006D207C">
        <w:t>This includes identifying gaps and ensuring adequate resource</w:t>
      </w:r>
      <w:r w:rsidR="00CD5AF1">
        <w:t>s</w:t>
      </w:r>
      <w:r w:rsidR="006D207C">
        <w:t xml:space="preserve"> are allocated for </w:t>
      </w:r>
      <w:r w:rsidR="00A4067B">
        <w:t>effective recovery.</w:t>
      </w:r>
    </w:p>
    <w:p w14:paraId="3B2A1A72" w14:textId="704D9A52" w:rsidR="00C750A0" w:rsidRDefault="0041307F" w:rsidP="0041307F">
      <w:pPr>
        <w:pStyle w:val="ListParagraph"/>
        <w:numPr>
          <w:ilvl w:val="0"/>
          <w:numId w:val="27"/>
        </w:numPr>
      </w:pPr>
      <w:r>
        <w:t>Prepare a r</w:t>
      </w:r>
      <w:r w:rsidR="00700ABB" w:rsidRPr="0074558C">
        <w:t>eport</w:t>
      </w:r>
      <w:r w:rsidR="00416600">
        <w:t xml:space="preserve"> on the recovery process</w:t>
      </w:r>
      <w:r>
        <w:t xml:space="preserve">. This </w:t>
      </w:r>
      <w:r w:rsidR="00416600">
        <w:t xml:space="preserve">can </w:t>
      </w:r>
      <w:r w:rsidR="00CD5AF1">
        <w:t>be a</w:t>
      </w:r>
      <w:r w:rsidR="008319F7">
        <w:t xml:space="preserve"> useful case study </w:t>
      </w:r>
      <w:r w:rsidR="00416600">
        <w:t xml:space="preserve">to </w:t>
      </w:r>
      <w:r w:rsidR="008319F7">
        <w:t>assist in the development and improvement of disaster</w:t>
      </w:r>
      <w:r w:rsidR="00237F47">
        <w:t xml:space="preserve"> recovery</w:t>
      </w:r>
      <w:r w:rsidR="008319F7">
        <w:t xml:space="preserve"> plan</w:t>
      </w:r>
      <w:r w:rsidR="001543FE">
        <w:t>ning</w:t>
      </w:r>
      <w:r w:rsidR="008319F7">
        <w:t>.</w:t>
      </w:r>
      <w:r w:rsidR="00D94929">
        <w:t xml:space="preserve"> </w:t>
      </w:r>
    </w:p>
    <w:p w14:paraId="00C378BC" w14:textId="6C752612" w:rsidR="00675E56" w:rsidRDefault="00675E56" w:rsidP="00675E56">
      <w:pPr>
        <w:pStyle w:val="ListParagraph"/>
        <w:numPr>
          <w:ilvl w:val="0"/>
          <w:numId w:val="27"/>
        </w:numPr>
      </w:pPr>
      <w:r w:rsidRPr="00744273">
        <w:t xml:space="preserve">Use </w:t>
      </w:r>
      <w:r w:rsidR="0041307F">
        <w:t xml:space="preserve">the post-disaster analysis </w:t>
      </w:r>
      <w:r w:rsidRPr="00744273">
        <w:t xml:space="preserve">to update and improve the disaster </w:t>
      </w:r>
      <w:r w:rsidR="00237F47">
        <w:t>recovery</w:t>
      </w:r>
      <w:r w:rsidRPr="00744273">
        <w:t xml:space="preserve"> plan</w:t>
      </w:r>
      <w:r>
        <w:t xml:space="preserve"> for</w:t>
      </w:r>
      <w:r w:rsidRPr="00744273">
        <w:t xml:space="preserve"> future incidents. </w:t>
      </w:r>
    </w:p>
    <w:p w14:paraId="1DCDF1D7" w14:textId="77777777" w:rsidR="00675E56" w:rsidRPr="00744273" w:rsidRDefault="00675E56" w:rsidP="00675E56"/>
    <w:p w14:paraId="4F5B9399" w14:textId="3F900755" w:rsidR="001413EC" w:rsidRPr="00A2391D" w:rsidRDefault="001543FE" w:rsidP="001C608B">
      <w:pPr>
        <w:pStyle w:val="Heading1"/>
      </w:pPr>
      <w:r w:rsidRPr="00E9084A">
        <w:lastRenderedPageBreak/>
        <w:t>Useful References:</w:t>
      </w:r>
    </w:p>
    <w:p w14:paraId="676661D2" w14:textId="7DC835CF" w:rsidR="00725EF8" w:rsidRDefault="00725EF8" w:rsidP="006928BF">
      <w:pPr>
        <w:spacing w:before="100" w:beforeAutospacing="1" w:after="100" w:afterAutospacing="1"/>
      </w:pPr>
      <w:hyperlink r:id="rId14" w:history="1">
        <w:r w:rsidRPr="00AC35EC">
          <w:rPr>
            <w:rStyle w:val="Hyperlink"/>
          </w:rPr>
          <w:t>Territory Records Office</w:t>
        </w:r>
      </w:hyperlink>
      <w:r w:rsidR="00AC35EC">
        <w:t xml:space="preserve"> website for Standards, Guidelines and Advices </w:t>
      </w:r>
    </w:p>
    <w:p w14:paraId="5A59EDDC" w14:textId="142B0807" w:rsidR="00EF7B3C" w:rsidRDefault="00005BE9" w:rsidP="006928BF">
      <w:pPr>
        <w:spacing w:before="100" w:beforeAutospacing="1" w:after="100" w:afterAutospacing="1"/>
      </w:pPr>
      <w:hyperlink r:id="rId15" w:history="1">
        <w:r w:rsidRPr="00005BE9">
          <w:rPr>
            <w:rStyle w:val="Hyperlink"/>
          </w:rPr>
          <w:t>Territory Records Office Extranet</w:t>
        </w:r>
      </w:hyperlink>
      <w:r>
        <w:t xml:space="preserve"> for information and resources for ACT Government agencies </w:t>
      </w:r>
    </w:p>
    <w:p w14:paraId="03B5BDF9" w14:textId="482541DB" w:rsidR="00725EF8" w:rsidRPr="006928BF" w:rsidRDefault="00725EF8" w:rsidP="006928BF">
      <w:pPr>
        <w:spacing w:before="100" w:beforeAutospacing="1" w:after="100" w:afterAutospacing="1"/>
        <w:rPr>
          <w:rFonts w:asciiTheme="minorHAnsi" w:hAnsiTheme="minorHAnsi" w:cstheme="minorHAnsi"/>
          <w:u w:val="single"/>
        </w:rPr>
      </w:pPr>
      <w:hyperlink r:id="rId16" w:history="1">
        <w:r w:rsidRPr="00725EF8">
          <w:rPr>
            <w:rStyle w:val="Hyperlink"/>
          </w:rPr>
          <w:t>WorkSafe ACT</w:t>
        </w:r>
      </w:hyperlink>
      <w:r>
        <w:t xml:space="preserve"> </w:t>
      </w:r>
    </w:p>
    <w:p w14:paraId="043BE9FD" w14:textId="7E5BC5F2" w:rsidR="00E71777" w:rsidRDefault="00E71777" w:rsidP="00E71777">
      <w:pPr>
        <w:spacing w:before="100" w:beforeAutospacing="1" w:after="100" w:afterAutospacing="1"/>
      </w:pPr>
      <w:hyperlink r:id="rId17" w:history="1">
        <w:r w:rsidRPr="001B1951">
          <w:rPr>
            <w:rStyle w:val="Hyperlink"/>
            <w:rFonts w:asciiTheme="minorHAnsi" w:hAnsiTheme="minorHAnsi" w:cstheme="minorHAnsi"/>
          </w:rPr>
          <w:t xml:space="preserve">ACT Emergency Services </w:t>
        </w:r>
        <w:r w:rsidRPr="00EF7B3C">
          <w:rPr>
            <w:rStyle w:val="Hyperlink"/>
            <w:rFonts w:asciiTheme="minorHAnsi" w:hAnsiTheme="minorHAnsi" w:cstheme="minorHAnsi"/>
          </w:rPr>
          <w:t>Agency</w:t>
        </w:r>
        <w:r w:rsidR="00EF7B3C">
          <w:rPr>
            <w:rStyle w:val="Hyperlink"/>
            <w:rFonts w:asciiTheme="minorHAnsi" w:hAnsiTheme="minorHAnsi" w:cstheme="minorHAnsi"/>
          </w:rPr>
          <w:t xml:space="preserve"> – Preparing for Emergencies</w:t>
        </w:r>
        <w:r w:rsidRPr="00E71777">
          <w:rPr>
            <w:rStyle w:val="Hyperlink"/>
            <w:rFonts w:asciiTheme="minorHAnsi" w:hAnsiTheme="minorHAnsi" w:cstheme="minorHAnsi"/>
          </w:rPr>
          <w:t xml:space="preserve"> </w:t>
        </w:r>
      </w:hyperlink>
    </w:p>
    <w:p w14:paraId="206CA0AF" w14:textId="04579615" w:rsidR="00AC35EC" w:rsidRPr="00EF7B3C" w:rsidRDefault="00EF7B3C" w:rsidP="00E71777">
      <w:pPr>
        <w:spacing w:before="100" w:beforeAutospacing="1" w:after="100" w:afterAutospacing="1"/>
        <w:rPr>
          <w:rFonts w:asciiTheme="minorHAnsi" w:hAnsiTheme="minorHAnsi" w:cstheme="minorHAnsi"/>
        </w:rPr>
      </w:pPr>
      <w:hyperlink r:id="rId18" w:history="1">
        <w:r w:rsidRPr="00EF7B3C">
          <w:rPr>
            <w:rStyle w:val="Hyperlink"/>
            <w:rFonts w:asciiTheme="minorHAnsi" w:hAnsiTheme="minorHAnsi" w:cstheme="minorHAnsi"/>
          </w:rPr>
          <w:t>Australian Capital Territory Insurance Authority</w:t>
        </w:r>
      </w:hyperlink>
    </w:p>
    <w:p w14:paraId="12EC6469" w14:textId="0B5092E9" w:rsidR="00EF7B3C" w:rsidRDefault="00EF7B3C" w:rsidP="00EF7B3C">
      <w:pPr>
        <w:spacing w:before="100" w:beforeAutospacing="1" w:after="100" w:afterAutospacing="1"/>
      </w:pPr>
      <w:hyperlink r:id="rId19" w:history="1">
        <w:r w:rsidRPr="00EF7B3C">
          <w:rPr>
            <w:rStyle w:val="Hyperlink"/>
          </w:rPr>
          <w:t>Australian Institute for the Conservation of Cultural Materials - Disaster</w:t>
        </w:r>
      </w:hyperlink>
      <w:r>
        <w:t xml:space="preserve"> </w:t>
      </w:r>
    </w:p>
    <w:p w14:paraId="2D277C7E" w14:textId="77777777" w:rsidR="00EF7B3C" w:rsidRPr="006928BF" w:rsidRDefault="00EF7B3C" w:rsidP="00EF7B3C">
      <w:pPr>
        <w:spacing w:before="100" w:beforeAutospacing="1" w:after="100" w:afterAutospacing="1"/>
        <w:rPr>
          <w:rStyle w:val="Hyperlink"/>
          <w:rFonts w:asciiTheme="minorHAnsi" w:hAnsiTheme="minorHAnsi" w:cstheme="minorHAnsi"/>
          <w:color w:val="auto"/>
        </w:rPr>
      </w:pPr>
      <w:hyperlink r:id="rId20" w:history="1">
        <w:r w:rsidRPr="00E71777">
          <w:rPr>
            <w:rStyle w:val="Hyperlink"/>
          </w:rPr>
          <w:t>Blue Shield Australia</w:t>
        </w:r>
      </w:hyperlink>
    </w:p>
    <w:p w14:paraId="133F98EE" w14:textId="77777777" w:rsidR="00252BC6" w:rsidRDefault="00252BC6" w:rsidP="006928BF">
      <w:pPr>
        <w:pBdr>
          <w:top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</w:p>
    <w:p w14:paraId="62A07DE1" w14:textId="2C675549" w:rsidR="001C73C6" w:rsidRPr="00135572" w:rsidRDefault="001C73C6" w:rsidP="006928BF">
      <w:pPr>
        <w:pBdr>
          <w:top w:val="single" w:sz="4" w:space="1" w:color="auto"/>
        </w:pBdr>
        <w:spacing w:before="100" w:beforeAutospacing="1" w:after="100" w:afterAutospacing="1"/>
        <w:rPr>
          <w:sz w:val="22"/>
          <w:szCs w:val="22"/>
        </w:rPr>
      </w:pPr>
      <w:r w:rsidRPr="00135572">
        <w:rPr>
          <w:noProof/>
          <w:sz w:val="22"/>
          <w:szCs w:val="22"/>
        </w:rPr>
        <w:drawing>
          <wp:inline distT="0" distB="0" distL="0" distR="0" wp14:anchorId="211CAB2F" wp14:editId="63DFDC80">
            <wp:extent cx="1428750" cy="419100"/>
            <wp:effectExtent l="0" t="0" r="0" b="0"/>
            <wp:docPr id="3" name="Picture 3" descr="Creative commons logo.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reative commons logo.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0A0811" w14:textId="7DE66668" w:rsidR="001C73C6" w:rsidRDefault="001C73C6" w:rsidP="006928BF">
      <w:pPr>
        <w:spacing w:before="100" w:beforeAutospacing="1" w:after="100" w:afterAutospacing="1"/>
        <w:rPr>
          <w:sz w:val="22"/>
          <w:szCs w:val="22"/>
        </w:rPr>
      </w:pPr>
      <w:r w:rsidRPr="00135572">
        <w:rPr>
          <w:sz w:val="22"/>
          <w:szCs w:val="22"/>
        </w:rPr>
        <w:t xml:space="preserve">The </w:t>
      </w:r>
      <w:r w:rsidRPr="00BF0699">
        <w:rPr>
          <w:i/>
          <w:iCs/>
          <w:sz w:val="22"/>
          <w:szCs w:val="22"/>
        </w:rPr>
        <w:t xml:space="preserve">Disaster Recovery Planning </w:t>
      </w:r>
      <w:r w:rsidRPr="005A0B59">
        <w:rPr>
          <w:sz w:val="22"/>
          <w:szCs w:val="22"/>
        </w:rPr>
        <w:t xml:space="preserve">Records Advice </w:t>
      </w:r>
      <w:r w:rsidRPr="00135572">
        <w:rPr>
          <w:sz w:val="22"/>
          <w:szCs w:val="22"/>
        </w:rPr>
        <w:t xml:space="preserve">is licensed under </w:t>
      </w:r>
      <w:hyperlink r:id="rId23" w:history="1">
        <w:r w:rsidRPr="00135572">
          <w:rPr>
            <w:rStyle w:val="Hyperlink"/>
            <w:sz w:val="22"/>
            <w:szCs w:val="22"/>
          </w:rPr>
          <w:t>Creative Commons — Attribution 4.0 International — CC BY 4.0</w:t>
        </w:r>
      </w:hyperlink>
      <w:r>
        <w:rPr>
          <w:sz w:val="22"/>
          <w:szCs w:val="22"/>
        </w:rPr>
        <w:t>.</w:t>
      </w:r>
      <w:r w:rsidRPr="005A0B59">
        <w:t xml:space="preserve"> </w:t>
      </w:r>
      <w:r w:rsidRPr="005A0B59">
        <w:rPr>
          <w:sz w:val="22"/>
          <w:szCs w:val="22"/>
        </w:rPr>
        <w:t>You are free to re-use the work under that licence with attribution.</w:t>
      </w:r>
    </w:p>
    <w:p w14:paraId="15E43A29" w14:textId="268542F3" w:rsidR="001C73C6" w:rsidRPr="00AE5089" w:rsidRDefault="001C73C6" w:rsidP="006928BF">
      <w:pPr>
        <w:pStyle w:val="BodyText"/>
        <w:spacing w:before="100" w:beforeAutospacing="1" w:after="100" w:afterAutospacing="1" w:line="240" w:lineRule="auto"/>
        <w:rPr>
          <w:color w:val="auto"/>
        </w:rPr>
      </w:pPr>
      <w:r>
        <w:t xml:space="preserve">Please give attribution to: </w:t>
      </w:r>
      <w:r w:rsidRPr="00135572">
        <w:t>© Australian Capital Territory</w:t>
      </w:r>
      <w:r>
        <w:t xml:space="preserve">, </w:t>
      </w:r>
      <w:r w:rsidR="00CA57D3" w:rsidRPr="00AE5089">
        <w:rPr>
          <w:color w:val="auto"/>
        </w:rPr>
        <w:t>2025</w:t>
      </w:r>
    </w:p>
    <w:p w14:paraId="6F980365" w14:textId="77777777" w:rsidR="001C73C6" w:rsidRPr="00135572" w:rsidRDefault="001C73C6" w:rsidP="006928BF">
      <w:pPr>
        <w:pStyle w:val="BodyText"/>
        <w:spacing w:before="100" w:beforeAutospacing="1" w:after="100" w:afterAutospacing="1" w:line="240" w:lineRule="auto"/>
      </w:pPr>
      <w:r w:rsidRPr="00135572">
        <w:t>The licence does not apply to the ACT Coat of Arms, the ACT Government logo and branding, images, artwork, photographs or any material protected by trademark.</w:t>
      </w:r>
    </w:p>
    <w:p w14:paraId="35C724FD" w14:textId="77777777" w:rsidR="001C73C6" w:rsidRPr="00135572" w:rsidRDefault="001C73C6" w:rsidP="006928BF">
      <w:pPr>
        <w:pStyle w:val="Heading1"/>
        <w:spacing w:before="100" w:beforeAutospacing="1" w:after="100" w:afterAutospacing="1"/>
        <w:rPr>
          <w:sz w:val="22"/>
          <w:szCs w:val="22"/>
        </w:rPr>
      </w:pPr>
      <w:r w:rsidRPr="00135572">
        <w:rPr>
          <w:sz w:val="22"/>
          <w:szCs w:val="22"/>
        </w:rPr>
        <w:t xml:space="preserve">CONTACT US </w:t>
      </w:r>
    </w:p>
    <w:p w14:paraId="20982264" w14:textId="254F4B31" w:rsidR="00F57B9B" w:rsidRPr="003961C1" w:rsidRDefault="001C73C6" w:rsidP="006928BF">
      <w:pPr>
        <w:autoSpaceDE/>
        <w:autoSpaceDN/>
        <w:adjustRightInd/>
        <w:spacing w:before="100" w:beforeAutospacing="1" w:after="100" w:afterAutospacing="1"/>
        <w:rPr>
          <w:rFonts w:eastAsia="MS PGothic" w:cs="Calibri"/>
          <w:sz w:val="22"/>
          <w:szCs w:val="22"/>
        </w:rPr>
      </w:pPr>
      <w:r w:rsidRPr="00135572">
        <w:rPr>
          <w:sz w:val="22"/>
          <w:szCs w:val="22"/>
        </w:rPr>
        <w:t xml:space="preserve">Territory Records Office | </w:t>
      </w:r>
      <w:hyperlink r:id="rId24" w:history="1">
        <w:r w:rsidRPr="00135572">
          <w:rPr>
            <w:rFonts w:eastAsia="MS PGothic" w:cs="Calibri"/>
            <w:color w:val="0563C1"/>
            <w:sz w:val="22"/>
            <w:szCs w:val="22"/>
            <w:u w:val="single"/>
          </w:rPr>
          <w:t>www.territoryrecords.act.gov.au</w:t>
        </w:r>
      </w:hyperlink>
      <w:r w:rsidRPr="00135572">
        <w:rPr>
          <w:sz w:val="22"/>
          <w:szCs w:val="22"/>
        </w:rPr>
        <w:t xml:space="preserve">| </w:t>
      </w:r>
      <w:hyperlink r:id="rId25" w:history="1">
        <w:r w:rsidRPr="00135572">
          <w:rPr>
            <w:rFonts w:eastAsia="MS PGothic" w:cs="Calibri"/>
            <w:color w:val="0563C1"/>
            <w:sz w:val="22"/>
            <w:szCs w:val="22"/>
            <w:u w:val="single"/>
          </w:rPr>
          <w:t>TRO@act.gov.au</w:t>
        </w:r>
      </w:hyperlink>
    </w:p>
    <w:sectPr w:rsidR="00F57B9B" w:rsidRPr="003961C1" w:rsidSect="00804EE8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 w:code="9"/>
      <w:pgMar w:top="1440" w:right="1276" w:bottom="1440" w:left="1440" w:header="39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4041" w14:textId="77777777" w:rsidR="00EC420C" w:rsidRDefault="00EC420C" w:rsidP="007C3780">
      <w:r>
        <w:separator/>
      </w:r>
    </w:p>
  </w:endnote>
  <w:endnote w:type="continuationSeparator" w:id="0">
    <w:p w14:paraId="7D887E58" w14:textId="77777777" w:rsidR="00EC420C" w:rsidRDefault="00EC420C" w:rsidP="007C3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7350865"/>
      <w:docPartObj>
        <w:docPartGallery w:val="Page Numbers (Top of Page)"/>
        <w:docPartUnique/>
      </w:docPartObj>
    </w:sdtPr>
    <w:sdtEndPr>
      <w:rPr>
        <w:color w:val="FF0000"/>
      </w:rPr>
    </w:sdtEndPr>
    <w:sdtContent>
      <w:p w14:paraId="145073C8" w14:textId="2B7846A8" w:rsidR="005A5D01" w:rsidRPr="00270929" w:rsidRDefault="00270929" w:rsidP="00270929">
        <w:pPr>
          <w:pStyle w:val="Footer"/>
          <w:jc w:val="center"/>
        </w:pPr>
        <w:r w:rsidRPr="007C3780">
          <w:rPr>
            <w:sz w:val="20"/>
            <w:szCs w:val="20"/>
          </w:rPr>
          <w:t>Version: 1.</w:t>
        </w:r>
        <w:r w:rsidR="00D70B93">
          <w:rPr>
            <w:sz w:val="20"/>
            <w:szCs w:val="20"/>
          </w:rPr>
          <w:t>1</w:t>
        </w:r>
        <w:r>
          <w:rPr>
            <w:sz w:val="20"/>
            <w:szCs w:val="20"/>
          </w:rPr>
          <w:tab/>
        </w:r>
        <w:r w:rsidRPr="00785514">
          <w:rPr>
            <w:sz w:val="20"/>
            <w:szCs w:val="20"/>
          </w:rPr>
          <w:t xml:space="preserve">Page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PAGE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1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785514">
          <w:rPr>
            <w:sz w:val="20"/>
            <w:szCs w:val="20"/>
          </w:rPr>
          <w:t xml:space="preserve"> of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NUMPAGES 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3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27092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  <w:t xml:space="preserve">Publication date: </w:t>
        </w:r>
        <w:r w:rsidR="00D70B93">
          <w:rPr>
            <w:sz w:val="20"/>
            <w:szCs w:val="20"/>
          </w:rPr>
          <w:t>18/11/2025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4879194"/>
      <w:docPartObj>
        <w:docPartGallery w:val="Page Numbers (Top of Page)"/>
        <w:docPartUnique/>
      </w:docPartObj>
    </w:sdtPr>
    <w:sdtContent>
      <w:p w14:paraId="777E8ABD" w14:textId="30D8C653" w:rsidR="005A5D01" w:rsidRPr="00270929" w:rsidRDefault="00270929" w:rsidP="00270929">
        <w:pPr>
          <w:pStyle w:val="Footer"/>
          <w:jc w:val="center"/>
        </w:pPr>
        <w:r w:rsidRPr="007C3780">
          <w:rPr>
            <w:sz w:val="20"/>
            <w:szCs w:val="20"/>
          </w:rPr>
          <w:t>Version: 1.</w:t>
        </w:r>
        <w:r w:rsidR="00D70B93">
          <w:rPr>
            <w:sz w:val="20"/>
            <w:szCs w:val="20"/>
          </w:rPr>
          <w:t>1</w:t>
        </w:r>
        <w:r>
          <w:rPr>
            <w:sz w:val="20"/>
            <w:szCs w:val="20"/>
          </w:rPr>
          <w:tab/>
        </w:r>
        <w:r w:rsidRPr="00785514">
          <w:rPr>
            <w:sz w:val="20"/>
            <w:szCs w:val="20"/>
          </w:rPr>
          <w:t xml:space="preserve">Page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PAGE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1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785514">
          <w:rPr>
            <w:sz w:val="20"/>
            <w:szCs w:val="20"/>
          </w:rPr>
          <w:t xml:space="preserve"> of </w:t>
        </w:r>
        <w:r w:rsidRPr="00785514">
          <w:rPr>
            <w:b/>
            <w:bCs/>
            <w:sz w:val="20"/>
            <w:szCs w:val="20"/>
          </w:rPr>
          <w:fldChar w:fldCharType="begin"/>
        </w:r>
        <w:r w:rsidRPr="00785514">
          <w:rPr>
            <w:b/>
            <w:bCs/>
            <w:sz w:val="20"/>
            <w:szCs w:val="20"/>
          </w:rPr>
          <w:instrText xml:space="preserve"> NUMPAGES  </w:instrText>
        </w:r>
        <w:r w:rsidRPr="00785514">
          <w:rPr>
            <w:b/>
            <w:bCs/>
            <w:sz w:val="20"/>
            <w:szCs w:val="20"/>
          </w:rPr>
          <w:fldChar w:fldCharType="separate"/>
        </w:r>
        <w:r w:rsidRPr="00785514">
          <w:rPr>
            <w:b/>
            <w:bCs/>
            <w:sz w:val="20"/>
            <w:szCs w:val="20"/>
          </w:rPr>
          <w:t>3</w:t>
        </w:r>
        <w:r w:rsidRPr="00785514">
          <w:rPr>
            <w:b/>
            <w:bCs/>
            <w:sz w:val="20"/>
            <w:szCs w:val="20"/>
          </w:rPr>
          <w:fldChar w:fldCharType="end"/>
        </w:r>
        <w:r w:rsidRPr="00270929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  <w:t>Publication date:</w:t>
        </w:r>
        <w:r w:rsidR="00D70B93">
          <w:rPr>
            <w:sz w:val="20"/>
            <w:szCs w:val="20"/>
          </w:rPr>
          <w:t xml:space="preserve"> 18/11/2025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742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3261339" w14:textId="391B3FDF" w:rsidR="00270929" w:rsidRDefault="00270929">
            <w:pPr>
              <w:pStyle w:val="Footer"/>
              <w:jc w:val="center"/>
            </w:pPr>
            <w:r w:rsidRPr="007C3780">
              <w:rPr>
                <w:sz w:val="20"/>
                <w:szCs w:val="20"/>
              </w:rPr>
              <w:t>Version: 1.</w:t>
            </w:r>
            <w:r w:rsidR="00D70B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ab/>
            </w:r>
            <w:r w:rsidRPr="00785514">
              <w:rPr>
                <w:sz w:val="20"/>
                <w:szCs w:val="20"/>
              </w:rPr>
              <w:t xml:space="preserve">Page </w:t>
            </w:r>
            <w:r w:rsidRPr="00785514">
              <w:rPr>
                <w:b/>
                <w:bCs/>
                <w:sz w:val="20"/>
                <w:szCs w:val="20"/>
              </w:rPr>
              <w:fldChar w:fldCharType="begin"/>
            </w:r>
            <w:r w:rsidRPr="0078551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85514">
              <w:rPr>
                <w:b/>
                <w:bCs/>
                <w:sz w:val="20"/>
                <w:szCs w:val="20"/>
              </w:rPr>
              <w:fldChar w:fldCharType="separate"/>
            </w:r>
            <w:r w:rsidRPr="00785514">
              <w:rPr>
                <w:b/>
                <w:bCs/>
                <w:noProof/>
                <w:sz w:val="20"/>
                <w:szCs w:val="20"/>
              </w:rPr>
              <w:t>2</w:t>
            </w:r>
            <w:r w:rsidRPr="00785514">
              <w:rPr>
                <w:b/>
                <w:bCs/>
                <w:sz w:val="20"/>
                <w:szCs w:val="20"/>
              </w:rPr>
              <w:fldChar w:fldCharType="end"/>
            </w:r>
            <w:r w:rsidRPr="00785514">
              <w:rPr>
                <w:sz w:val="20"/>
                <w:szCs w:val="20"/>
              </w:rPr>
              <w:t xml:space="preserve"> of </w:t>
            </w:r>
            <w:r w:rsidRPr="00785514">
              <w:rPr>
                <w:b/>
                <w:bCs/>
                <w:sz w:val="20"/>
                <w:szCs w:val="20"/>
              </w:rPr>
              <w:fldChar w:fldCharType="begin"/>
            </w:r>
            <w:r w:rsidRPr="0078551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85514">
              <w:rPr>
                <w:b/>
                <w:bCs/>
                <w:sz w:val="20"/>
                <w:szCs w:val="20"/>
              </w:rPr>
              <w:fldChar w:fldCharType="separate"/>
            </w:r>
            <w:r w:rsidRPr="00785514">
              <w:rPr>
                <w:b/>
                <w:bCs/>
                <w:noProof/>
                <w:sz w:val="20"/>
                <w:szCs w:val="20"/>
              </w:rPr>
              <w:t>2</w:t>
            </w:r>
            <w:r w:rsidRPr="00785514">
              <w:rPr>
                <w:b/>
                <w:bCs/>
                <w:sz w:val="20"/>
                <w:szCs w:val="20"/>
              </w:rPr>
              <w:fldChar w:fldCharType="end"/>
            </w:r>
            <w:r w:rsidRPr="002709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  <w:t xml:space="preserve">Publication date: </w:t>
            </w:r>
            <w:r w:rsidR="00D70B93">
              <w:rPr>
                <w:sz w:val="20"/>
                <w:szCs w:val="20"/>
              </w:rPr>
              <w:t>18/11/2025</w:t>
            </w:r>
          </w:p>
        </w:sdtContent>
      </w:sdt>
    </w:sdtContent>
  </w:sdt>
  <w:p w14:paraId="46BC6B9E" w14:textId="77777777" w:rsidR="003D0E6C" w:rsidRPr="006C3AE4" w:rsidRDefault="003D0E6C" w:rsidP="00837932">
    <w:pPr>
      <w:autoSpaceDE/>
      <w:autoSpaceDN/>
      <w:adjustRightInd/>
      <w:spacing w:before="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60FD" w14:textId="77777777" w:rsidR="00EC420C" w:rsidRDefault="00EC420C" w:rsidP="007C3780">
      <w:r>
        <w:separator/>
      </w:r>
    </w:p>
  </w:footnote>
  <w:footnote w:type="continuationSeparator" w:id="0">
    <w:p w14:paraId="696E0464" w14:textId="77777777" w:rsidR="00EC420C" w:rsidRDefault="00EC420C" w:rsidP="007C37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D248" w14:textId="77777777" w:rsidR="00D70B93" w:rsidRDefault="00D70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99C13" w14:textId="5BD879CB" w:rsidR="00222472" w:rsidRDefault="00222472" w:rsidP="007C3780">
    <w:pPr>
      <w:pStyle w:val="Header"/>
    </w:pPr>
    <w:r>
      <w:tab/>
    </w:r>
  </w:p>
  <w:p w14:paraId="3D454E7B" w14:textId="77777777" w:rsidR="00063054" w:rsidRDefault="00063054" w:rsidP="007C37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EF3AF" w14:textId="77777777" w:rsidR="00795D8F" w:rsidRDefault="00795D8F" w:rsidP="00795D8F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19E744C3" wp14:editId="5845AB8E">
          <wp:simplePos x="0" y="0"/>
          <wp:positionH relativeFrom="page">
            <wp:posOffset>-19050</wp:posOffset>
          </wp:positionH>
          <wp:positionV relativeFrom="paragraph">
            <wp:posOffset>-480695</wp:posOffset>
          </wp:positionV>
          <wp:extent cx="7734300" cy="1676400"/>
          <wp:effectExtent l="0" t="0" r="0" b="0"/>
          <wp:wrapNone/>
          <wp:docPr id="2117210813" name="Picture 21172108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Cutout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6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ab/>
    </w:r>
    <w:r>
      <w:rPr>
        <w:noProof/>
        <w:lang w:eastAsia="en-AU"/>
      </w:rPr>
      <w:drawing>
        <wp:inline distT="0" distB="0" distL="0" distR="0" wp14:anchorId="03D341B4" wp14:editId="5A8C4512">
          <wp:extent cx="1306195" cy="666000"/>
          <wp:effectExtent l="0" t="0" r="8255" b="1270"/>
          <wp:docPr id="1303894628" name="Picture 10" descr="ACT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894628" name="Picture 10" descr="ACT Government logo"/>
                  <pic:cNvPicPr/>
                </pic:nvPicPr>
                <pic:blipFill rotWithShape="1">
                  <a:blip r:embed="rId3"/>
                  <a:srcRect l="-1" t="-23" r="-1" b="-23"/>
                  <a:stretch/>
                </pic:blipFill>
                <pic:spPr bwMode="auto">
                  <a:xfrm>
                    <a:off x="0" y="0"/>
                    <a:ext cx="1306800" cy="6663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22472">
      <w:rPr>
        <w:noProof/>
        <w:lang w:eastAsia="en-AU"/>
      </w:rPr>
      <mc:AlternateContent>
        <mc:Choice Requires="wps">
          <w:drawing>
            <wp:inline distT="0" distB="0" distL="0" distR="0" wp14:anchorId="5242A399" wp14:editId="618AF92D">
              <wp:extent cx="4286250" cy="728980"/>
              <wp:effectExtent l="0" t="0" r="0" b="0"/>
              <wp:docPr id="1971075394" name="Text Box 2" descr="Header panel: &#10;Territory Records Office&#10;Records Advice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86250" cy="7289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B5FF4" w14:textId="77777777" w:rsidR="00795D8F" w:rsidRPr="00DA0F5A" w:rsidRDefault="00795D8F" w:rsidP="00795D8F">
                          <w:pPr>
                            <w:pStyle w:val="AdviceHeading3"/>
                          </w:pPr>
                          <w:r w:rsidRPr="00DA0F5A">
                            <w:t>TERRITORY RECORDS OFFICE</w:t>
                          </w:r>
                        </w:p>
                        <w:p w14:paraId="57ECCBB0" w14:textId="77777777" w:rsidR="00795D8F" w:rsidRPr="00E92846" w:rsidRDefault="00795D8F" w:rsidP="00795D8F">
                          <w:pPr>
                            <w:pStyle w:val="AdviceHeading2"/>
                          </w:pPr>
                          <w:r w:rsidRPr="007C3780">
                            <w:t>RECORDS</w:t>
                          </w:r>
                          <w:r w:rsidRPr="00E92846">
                            <w:t xml:space="preserve"> ADVICE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242A3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Header panel: &#10;Territory Records Office&#10;Records Advice. " style="width:337.5pt;height:5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" filled="f" stroked="f">
              <v:textbox>
                <w:txbxContent>
                  <w:p w14:paraId="228B5FF4" w14:textId="77777777" w:rsidR="00795D8F" w:rsidRPr="00DA0F5A" w:rsidRDefault="00795D8F" w:rsidP="00795D8F">
                    <w:pPr>
                      <w:pStyle w:val="AdviceHeading3"/>
                    </w:pPr>
                    <w:r w:rsidRPr="00DA0F5A">
                      <w:t>TERRITORY RECORDS OFFICE</w:t>
                    </w:r>
                  </w:p>
                  <w:p w14:paraId="57ECCBB0" w14:textId="77777777" w:rsidR="00795D8F" w:rsidRPr="00E92846" w:rsidRDefault="00795D8F" w:rsidP="00795D8F">
                    <w:pPr>
                      <w:pStyle w:val="AdviceHeading2"/>
                    </w:pPr>
                    <w:r w:rsidRPr="007C3780">
                      <w:t>RECORDS</w:t>
                    </w:r>
                    <w:r w:rsidRPr="00E92846">
                      <w:t xml:space="preserve"> ADVICE</w:t>
                    </w:r>
                  </w:p>
                </w:txbxContent>
              </v:textbox>
              <w10:anchorlock/>
            </v:shape>
          </w:pict>
        </mc:Fallback>
      </mc:AlternateContent>
    </w:r>
    <w:r>
      <w:tab/>
    </w:r>
  </w:p>
  <w:p w14:paraId="5223B454" w14:textId="77777777" w:rsidR="00105161" w:rsidRDefault="00105161" w:rsidP="007C37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817"/>
    <w:multiLevelType w:val="hybridMultilevel"/>
    <w:tmpl w:val="22509C6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F">
      <w:start w:val="1"/>
      <w:numFmt w:val="decimal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6C5942"/>
    <w:multiLevelType w:val="hybridMultilevel"/>
    <w:tmpl w:val="1FF8F1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56D83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800AF9"/>
    <w:multiLevelType w:val="hybridMultilevel"/>
    <w:tmpl w:val="8FD66C52"/>
    <w:lvl w:ilvl="0" w:tplc="0C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62B57"/>
    <w:multiLevelType w:val="hybridMultilevel"/>
    <w:tmpl w:val="ED3C947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7DE7"/>
    <w:multiLevelType w:val="hybridMultilevel"/>
    <w:tmpl w:val="F3C696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0363D"/>
    <w:multiLevelType w:val="hybridMultilevel"/>
    <w:tmpl w:val="E824345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E778E"/>
    <w:multiLevelType w:val="hybridMultilevel"/>
    <w:tmpl w:val="BADE56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A133C"/>
    <w:multiLevelType w:val="hybridMultilevel"/>
    <w:tmpl w:val="51B86F26"/>
    <w:lvl w:ilvl="0" w:tplc="04A0C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0658C2"/>
    <w:multiLevelType w:val="hybridMultilevel"/>
    <w:tmpl w:val="99B898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652CEB"/>
    <w:multiLevelType w:val="hybridMultilevel"/>
    <w:tmpl w:val="BADE56E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02CA3"/>
    <w:multiLevelType w:val="hybridMultilevel"/>
    <w:tmpl w:val="D230FA68"/>
    <w:lvl w:ilvl="0" w:tplc="04A0C63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B4C82"/>
    <w:multiLevelType w:val="hybridMultilevel"/>
    <w:tmpl w:val="D86405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48707D"/>
    <w:multiLevelType w:val="hybridMultilevel"/>
    <w:tmpl w:val="8C422AD0"/>
    <w:lvl w:ilvl="0" w:tplc="0C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46502CC7"/>
    <w:multiLevelType w:val="hybridMultilevel"/>
    <w:tmpl w:val="62B63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02120"/>
    <w:multiLevelType w:val="multilevel"/>
    <w:tmpl w:val="23ACBF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2BD3DB8"/>
    <w:multiLevelType w:val="hybridMultilevel"/>
    <w:tmpl w:val="BADE56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4E4E78"/>
    <w:multiLevelType w:val="hybridMultilevel"/>
    <w:tmpl w:val="0DCEF50C"/>
    <w:lvl w:ilvl="0" w:tplc="04A0C6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542764"/>
    <w:multiLevelType w:val="hybridMultilevel"/>
    <w:tmpl w:val="DA963246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9" w15:restartNumberingAfterBreak="0">
    <w:nsid w:val="66C60D7B"/>
    <w:multiLevelType w:val="hybridMultilevel"/>
    <w:tmpl w:val="C89698F2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0" w15:restartNumberingAfterBreak="0">
    <w:nsid w:val="67B5602F"/>
    <w:multiLevelType w:val="hybridMultilevel"/>
    <w:tmpl w:val="86B0991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B66041E"/>
    <w:multiLevelType w:val="hybridMultilevel"/>
    <w:tmpl w:val="5C5EFF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D358D8"/>
    <w:multiLevelType w:val="hybridMultilevel"/>
    <w:tmpl w:val="BC8CD4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3B7150"/>
    <w:multiLevelType w:val="hybridMultilevel"/>
    <w:tmpl w:val="BAAE3B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951DCA"/>
    <w:multiLevelType w:val="hybridMultilevel"/>
    <w:tmpl w:val="A71C6EC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2A56A6E"/>
    <w:multiLevelType w:val="hybridMultilevel"/>
    <w:tmpl w:val="BADE56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E3570B"/>
    <w:multiLevelType w:val="hybridMultilevel"/>
    <w:tmpl w:val="A71C6EC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E887D22"/>
    <w:multiLevelType w:val="hybridMultilevel"/>
    <w:tmpl w:val="8F2AD7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849308">
    <w:abstractNumId w:val="1"/>
  </w:num>
  <w:num w:numId="2" w16cid:durableId="426077379">
    <w:abstractNumId w:val="6"/>
  </w:num>
  <w:num w:numId="3" w16cid:durableId="1197544532">
    <w:abstractNumId w:val="4"/>
  </w:num>
  <w:num w:numId="4" w16cid:durableId="422069868">
    <w:abstractNumId w:val="18"/>
  </w:num>
  <w:num w:numId="5" w16cid:durableId="1254901079">
    <w:abstractNumId w:val="19"/>
  </w:num>
  <w:num w:numId="6" w16cid:durableId="1646006462">
    <w:abstractNumId w:val="5"/>
  </w:num>
  <w:num w:numId="7" w16cid:durableId="99645999">
    <w:abstractNumId w:val="14"/>
  </w:num>
  <w:num w:numId="8" w16cid:durableId="784234252">
    <w:abstractNumId w:val="21"/>
  </w:num>
  <w:num w:numId="9" w16cid:durableId="591469994">
    <w:abstractNumId w:val="11"/>
  </w:num>
  <w:num w:numId="10" w16cid:durableId="268201548">
    <w:abstractNumId w:val="15"/>
  </w:num>
  <w:num w:numId="11" w16cid:durableId="330333931">
    <w:abstractNumId w:val="17"/>
  </w:num>
  <w:num w:numId="12" w16cid:durableId="1106467726">
    <w:abstractNumId w:val="8"/>
  </w:num>
  <w:num w:numId="13" w16cid:durableId="904609754">
    <w:abstractNumId w:val="2"/>
  </w:num>
  <w:num w:numId="14" w16cid:durableId="1038437342">
    <w:abstractNumId w:val="13"/>
  </w:num>
  <w:num w:numId="15" w16cid:durableId="608969598">
    <w:abstractNumId w:val="3"/>
  </w:num>
  <w:num w:numId="16" w16cid:durableId="971791827">
    <w:abstractNumId w:val="9"/>
  </w:num>
  <w:num w:numId="17" w16cid:durableId="171335542">
    <w:abstractNumId w:val="0"/>
  </w:num>
  <w:num w:numId="18" w16cid:durableId="1904097649">
    <w:abstractNumId w:val="24"/>
  </w:num>
  <w:num w:numId="19" w16cid:durableId="364529507">
    <w:abstractNumId w:val="22"/>
  </w:num>
  <w:num w:numId="20" w16cid:durableId="1194268155">
    <w:abstractNumId w:val="23"/>
  </w:num>
  <w:num w:numId="21" w16cid:durableId="462190244">
    <w:abstractNumId w:val="26"/>
  </w:num>
  <w:num w:numId="22" w16cid:durableId="877357114">
    <w:abstractNumId w:val="12"/>
  </w:num>
  <w:num w:numId="23" w16cid:durableId="1349722338">
    <w:abstractNumId w:val="10"/>
  </w:num>
  <w:num w:numId="24" w16cid:durableId="1119569077">
    <w:abstractNumId w:val="27"/>
  </w:num>
  <w:num w:numId="25" w16cid:durableId="1397240944">
    <w:abstractNumId w:val="25"/>
  </w:num>
  <w:num w:numId="26" w16cid:durableId="244191362">
    <w:abstractNumId w:val="16"/>
  </w:num>
  <w:num w:numId="27" w16cid:durableId="1616987043">
    <w:abstractNumId w:val="7"/>
  </w:num>
  <w:num w:numId="28" w16cid:durableId="694717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860"/>
    <w:rsid w:val="00005228"/>
    <w:rsid w:val="00005BE9"/>
    <w:rsid w:val="000128F6"/>
    <w:rsid w:val="0001517A"/>
    <w:rsid w:val="0001587B"/>
    <w:rsid w:val="00030468"/>
    <w:rsid w:val="00030DEA"/>
    <w:rsid w:val="00033E0E"/>
    <w:rsid w:val="00034D54"/>
    <w:rsid w:val="00063054"/>
    <w:rsid w:val="000661C3"/>
    <w:rsid w:val="00072F3B"/>
    <w:rsid w:val="00081A11"/>
    <w:rsid w:val="00082DF6"/>
    <w:rsid w:val="00084891"/>
    <w:rsid w:val="0008639D"/>
    <w:rsid w:val="000A0F3D"/>
    <w:rsid w:val="000A6410"/>
    <w:rsid w:val="000A7299"/>
    <w:rsid w:val="000B2244"/>
    <w:rsid w:val="000B39E2"/>
    <w:rsid w:val="000C01A7"/>
    <w:rsid w:val="000C51A8"/>
    <w:rsid w:val="000D6709"/>
    <w:rsid w:val="000E1076"/>
    <w:rsid w:val="000E2E11"/>
    <w:rsid w:val="000F524D"/>
    <w:rsid w:val="00103B06"/>
    <w:rsid w:val="00104606"/>
    <w:rsid w:val="00104B1E"/>
    <w:rsid w:val="00105161"/>
    <w:rsid w:val="00110535"/>
    <w:rsid w:val="00110D3B"/>
    <w:rsid w:val="001216D1"/>
    <w:rsid w:val="001230FD"/>
    <w:rsid w:val="00127497"/>
    <w:rsid w:val="00130C15"/>
    <w:rsid w:val="0013500D"/>
    <w:rsid w:val="00135572"/>
    <w:rsid w:val="00135B23"/>
    <w:rsid w:val="001413EC"/>
    <w:rsid w:val="001422DF"/>
    <w:rsid w:val="00142CB5"/>
    <w:rsid w:val="00144B10"/>
    <w:rsid w:val="0014627A"/>
    <w:rsid w:val="00147C25"/>
    <w:rsid w:val="00152C5A"/>
    <w:rsid w:val="00153FB6"/>
    <w:rsid w:val="001543FE"/>
    <w:rsid w:val="001552EA"/>
    <w:rsid w:val="0015539A"/>
    <w:rsid w:val="001612AB"/>
    <w:rsid w:val="00161DB5"/>
    <w:rsid w:val="00173125"/>
    <w:rsid w:val="001746FD"/>
    <w:rsid w:val="00180A2F"/>
    <w:rsid w:val="00182633"/>
    <w:rsid w:val="00183D30"/>
    <w:rsid w:val="001A49EC"/>
    <w:rsid w:val="001A7769"/>
    <w:rsid w:val="001A7933"/>
    <w:rsid w:val="001B2670"/>
    <w:rsid w:val="001B2B0A"/>
    <w:rsid w:val="001B7B69"/>
    <w:rsid w:val="001C08BC"/>
    <w:rsid w:val="001C188C"/>
    <w:rsid w:val="001C3BC9"/>
    <w:rsid w:val="001C57A6"/>
    <w:rsid w:val="001C608B"/>
    <w:rsid w:val="001C73C6"/>
    <w:rsid w:val="001D006D"/>
    <w:rsid w:val="001D4412"/>
    <w:rsid w:val="001D5F68"/>
    <w:rsid w:val="001D7B86"/>
    <w:rsid w:val="001E0595"/>
    <w:rsid w:val="001E1F65"/>
    <w:rsid w:val="001E5B27"/>
    <w:rsid w:val="001E5C59"/>
    <w:rsid w:val="001E6A4F"/>
    <w:rsid w:val="001F1A99"/>
    <w:rsid w:val="001F4EA3"/>
    <w:rsid w:val="001F56F7"/>
    <w:rsid w:val="002007B1"/>
    <w:rsid w:val="00202917"/>
    <w:rsid w:val="002117C9"/>
    <w:rsid w:val="0021448C"/>
    <w:rsid w:val="002171DA"/>
    <w:rsid w:val="0022160A"/>
    <w:rsid w:val="00221F29"/>
    <w:rsid w:val="00222472"/>
    <w:rsid w:val="00225DA8"/>
    <w:rsid w:val="00235B6B"/>
    <w:rsid w:val="00237F47"/>
    <w:rsid w:val="00251C77"/>
    <w:rsid w:val="00252BA4"/>
    <w:rsid w:val="00252BC6"/>
    <w:rsid w:val="002554A3"/>
    <w:rsid w:val="00260EDC"/>
    <w:rsid w:val="00265D5F"/>
    <w:rsid w:val="00266481"/>
    <w:rsid w:val="00270929"/>
    <w:rsid w:val="00274EDA"/>
    <w:rsid w:val="00282AA8"/>
    <w:rsid w:val="00286AAF"/>
    <w:rsid w:val="002943F0"/>
    <w:rsid w:val="002946A6"/>
    <w:rsid w:val="00296982"/>
    <w:rsid w:val="002B5CA0"/>
    <w:rsid w:val="002C08C9"/>
    <w:rsid w:val="002C525C"/>
    <w:rsid w:val="002D0486"/>
    <w:rsid w:val="002E1DF0"/>
    <w:rsid w:val="002E4CD5"/>
    <w:rsid w:val="00301AA0"/>
    <w:rsid w:val="003028CB"/>
    <w:rsid w:val="00305CB0"/>
    <w:rsid w:val="00307A42"/>
    <w:rsid w:val="003214BA"/>
    <w:rsid w:val="00326256"/>
    <w:rsid w:val="003305B0"/>
    <w:rsid w:val="00331F58"/>
    <w:rsid w:val="00332A58"/>
    <w:rsid w:val="00343D34"/>
    <w:rsid w:val="00344D1C"/>
    <w:rsid w:val="00347BFF"/>
    <w:rsid w:val="00354E54"/>
    <w:rsid w:val="003562D0"/>
    <w:rsid w:val="00361FA3"/>
    <w:rsid w:val="00367A16"/>
    <w:rsid w:val="00371827"/>
    <w:rsid w:val="0037183E"/>
    <w:rsid w:val="003719E8"/>
    <w:rsid w:val="00374998"/>
    <w:rsid w:val="003812C6"/>
    <w:rsid w:val="003927E1"/>
    <w:rsid w:val="00393EF8"/>
    <w:rsid w:val="00394E8A"/>
    <w:rsid w:val="003961C1"/>
    <w:rsid w:val="003A6E86"/>
    <w:rsid w:val="003B20C5"/>
    <w:rsid w:val="003B25C6"/>
    <w:rsid w:val="003B2CC9"/>
    <w:rsid w:val="003B5136"/>
    <w:rsid w:val="003D0E6C"/>
    <w:rsid w:val="003D11B8"/>
    <w:rsid w:val="003D52E1"/>
    <w:rsid w:val="003E4FE5"/>
    <w:rsid w:val="003E55F3"/>
    <w:rsid w:val="003F158C"/>
    <w:rsid w:val="003F1F04"/>
    <w:rsid w:val="003F2AEA"/>
    <w:rsid w:val="003F61E9"/>
    <w:rsid w:val="003F7D28"/>
    <w:rsid w:val="00405541"/>
    <w:rsid w:val="00405EA0"/>
    <w:rsid w:val="00407CC8"/>
    <w:rsid w:val="0041307F"/>
    <w:rsid w:val="00416600"/>
    <w:rsid w:val="0041759B"/>
    <w:rsid w:val="00423239"/>
    <w:rsid w:val="00434ECB"/>
    <w:rsid w:val="00435041"/>
    <w:rsid w:val="00443448"/>
    <w:rsid w:val="0044794A"/>
    <w:rsid w:val="004504DE"/>
    <w:rsid w:val="00450622"/>
    <w:rsid w:val="00450D3A"/>
    <w:rsid w:val="00452E47"/>
    <w:rsid w:val="00467717"/>
    <w:rsid w:val="004810FE"/>
    <w:rsid w:val="0048543A"/>
    <w:rsid w:val="004863DA"/>
    <w:rsid w:val="00491033"/>
    <w:rsid w:val="00492701"/>
    <w:rsid w:val="004A2678"/>
    <w:rsid w:val="004A3563"/>
    <w:rsid w:val="004A4EC8"/>
    <w:rsid w:val="004C5DBA"/>
    <w:rsid w:val="004C666B"/>
    <w:rsid w:val="004D4078"/>
    <w:rsid w:val="004D4815"/>
    <w:rsid w:val="004D6BAE"/>
    <w:rsid w:val="004E3DC6"/>
    <w:rsid w:val="004E4BBE"/>
    <w:rsid w:val="004E4BD9"/>
    <w:rsid w:val="004E645C"/>
    <w:rsid w:val="004F05B5"/>
    <w:rsid w:val="004F56D7"/>
    <w:rsid w:val="004F61FB"/>
    <w:rsid w:val="004F67BA"/>
    <w:rsid w:val="00502293"/>
    <w:rsid w:val="005133B8"/>
    <w:rsid w:val="005177CB"/>
    <w:rsid w:val="00522B6E"/>
    <w:rsid w:val="00524C3A"/>
    <w:rsid w:val="0053012F"/>
    <w:rsid w:val="00530F01"/>
    <w:rsid w:val="00533C59"/>
    <w:rsid w:val="005373B9"/>
    <w:rsid w:val="005402D2"/>
    <w:rsid w:val="00540956"/>
    <w:rsid w:val="0054365C"/>
    <w:rsid w:val="00543E2F"/>
    <w:rsid w:val="00550640"/>
    <w:rsid w:val="00554411"/>
    <w:rsid w:val="00565305"/>
    <w:rsid w:val="00567064"/>
    <w:rsid w:val="0057031E"/>
    <w:rsid w:val="005804A0"/>
    <w:rsid w:val="00581CC9"/>
    <w:rsid w:val="00583D3A"/>
    <w:rsid w:val="00586FA5"/>
    <w:rsid w:val="00590973"/>
    <w:rsid w:val="00593641"/>
    <w:rsid w:val="005978C5"/>
    <w:rsid w:val="005A0B59"/>
    <w:rsid w:val="005A44C3"/>
    <w:rsid w:val="005A5D01"/>
    <w:rsid w:val="005A7AB5"/>
    <w:rsid w:val="005B5058"/>
    <w:rsid w:val="005B602E"/>
    <w:rsid w:val="005B655E"/>
    <w:rsid w:val="005C08B6"/>
    <w:rsid w:val="005C0DCD"/>
    <w:rsid w:val="005C172A"/>
    <w:rsid w:val="005C7E6F"/>
    <w:rsid w:val="005D59F7"/>
    <w:rsid w:val="005D6CB5"/>
    <w:rsid w:val="005D7A24"/>
    <w:rsid w:val="005E0285"/>
    <w:rsid w:val="005F0649"/>
    <w:rsid w:val="005F06BB"/>
    <w:rsid w:val="00610BDD"/>
    <w:rsid w:val="00611E10"/>
    <w:rsid w:val="00616881"/>
    <w:rsid w:val="00622661"/>
    <w:rsid w:val="00625277"/>
    <w:rsid w:val="0063295C"/>
    <w:rsid w:val="00643C1F"/>
    <w:rsid w:val="00654756"/>
    <w:rsid w:val="0066702E"/>
    <w:rsid w:val="0066791F"/>
    <w:rsid w:val="00675E56"/>
    <w:rsid w:val="006840AE"/>
    <w:rsid w:val="0068458D"/>
    <w:rsid w:val="006878C5"/>
    <w:rsid w:val="00690C16"/>
    <w:rsid w:val="006928BF"/>
    <w:rsid w:val="006946F8"/>
    <w:rsid w:val="00696BCB"/>
    <w:rsid w:val="006975F0"/>
    <w:rsid w:val="006A259C"/>
    <w:rsid w:val="006A3E08"/>
    <w:rsid w:val="006A5551"/>
    <w:rsid w:val="006B2A5D"/>
    <w:rsid w:val="006B2E4B"/>
    <w:rsid w:val="006B384C"/>
    <w:rsid w:val="006B4B3E"/>
    <w:rsid w:val="006C3AE4"/>
    <w:rsid w:val="006D01BF"/>
    <w:rsid w:val="006D207C"/>
    <w:rsid w:val="006D2EDB"/>
    <w:rsid w:val="006D7860"/>
    <w:rsid w:val="006E134E"/>
    <w:rsid w:val="006E1979"/>
    <w:rsid w:val="006E3384"/>
    <w:rsid w:val="006E762C"/>
    <w:rsid w:val="006F7546"/>
    <w:rsid w:val="00700ABB"/>
    <w:rsid w:val="00700DBC"/>
    <w:rsid w:val="00700F01"/>
    <w:rsid w:val="007166D7"/>
    <w:rsid w:val="00716DD9"/>
    <w:rsid w:val="0072384E"/>
    <w:rsid w:val="007244B6"/>
    <w:rsid w:val="00725EF8"/>
    <w:rsid w:val="00731EC1"/>
    <w:rsid w:val="007409CA"/>
    <w:rsid w:val="00744273"/>
    <w:rsid w:val="0074558C"/>
    <w:rsid w:val="007476D7"/>
    <w:rsid w:val="00756A80"/>
    <w:rsid w:val="00756C46"/>
    <w:rsid w:val="00757636"/>
    <w:rsid w:val="0076551B"/>
    <w:rsid w:val="007702B7"/>
    <w:rsid w:val="00776A3C"/>
    <w:rsid w:val="00777B9E"/>
    <w:rsid w:val="00785514"/>
    <w:rsid w:val="007873CA"/>
    <w:rsid w:val="0079112B"/>
    <w:rsid w:val="00794D1C"/>
    <w:rsid w:val="00795D8F"/>
    <w:rsid w:val="00795DC6"/>
    <w:rsid w:val="007A1904"/>
    <w:rsid w:val="007A1E98"/>
    <w:rsid w:val="007A60C0"/>
    <w:rsid w:val="007B02C5"/>
    <w:rsid w:val="007B1C67"/>
    <w:rsid w:val="007B5956"/>
    <w:rsid w:val="007B645D"/>
    <w:rsid w:val="007B6F03"/>
    <w:rsid w:val="007B79FA"/>
    <w:rsid w:val="007B7D8C"/>
    <w:rsid w:val="007C1341"/>
    <w:rsid w:val="007C28DC"/>
    <w:rsid w:val="007C3780"/>
    <w:rsid w:val="007E0EFE"/>
    <w:rsid w:val="007E70D4"/>
    <w:rsid w:val="007F0C95"/>
    <w:rsid w:val="007F1877"/>
    <w:rsid w:val="008033F0"/>
    <w:rsid w:val="008040F2"/>
    <w:rsid w:val="00804EE8"/>
    <w:rsid w:val="008208F7"/>
    <w:rsid w:val="00820F9C"/>
    <w:rsid w:val="00824358"/>
    <w:rsid w:val="00826C5D"/>
    <w:rsid w:val="008319F7"/>
    <w:rsid w:val="00832346"/>
    <w:rsid w:val="00833BDF"/>
    <w:rsid w:val="00837932"/>
    <w:rsid w:val="00840CBF"/>
    <w:rsid w:val="00842691"/>
    <w:rsid w:val="008518B7"/>
    <w:rsid w:val="008539E7"/>
    <w:rsid w:val="008569B3"/>
    <w:rsid w:val="00864B1C"/>
    <w:rsid w:val="00866EBA"/>
    <w:rsid w:val="00867737"/>
    <w:rsid w:val="00867E4D"/>
    <w:rsid w:val="00871027"/>
    <w:rsid w:val="00873F33"/>
    <w:rsid w:val="00874880"/>
    <w:rsid w:val="0087650E"/>
    <w:rsid w:val="008775BB"/>
    <w:rsid w:val="00880E31"/>
    <w:rsid w:val="008815D0"/>
    <w:rsid w:val="00891060"/>
    <w:rsid w:val="008939DA"/>
    <w:rsid w:val="008A3FD6"/>
    <w:rsid w:val="008B13B8"/>
    <w:rsid w:val="008B6198"/>
    <w:rsid w:val="008C03CC"/>
    <w:rsid w:val="008C28BC"/>
    <w:rsid w:val="008C5AEE"/>
    <w:rsid w:val="008D0957"/>
    <w:rsid w:val="008D1DAE"/>
    <w:rsid w:val="008D6D79"/>
    <w:rsid w:val="008E5ABA"/>
    <w:rsid w:val="008F0822"/>
    <w:rsid w:val="008F2575"/>
    <w:rsid w:val="008F2BBE"/>
    <w:rsid w:val="008F2DAF"/>
    <w:rsid w:val="008F2F9F"/>
    <w:rsid w:val="008F725A"/>
    <w:rsid w:val="009038D1"/>
    <w:rsid w:val="00915A9F"/>
    <w:rsid w:val="00923E87"/>
    <w:rsid w:val="009277B9"/>
    <w:rsid w:val="009305DB"/>
    <w:rsid w:val="00933B53"/>
    <w:rsid w:val="009366EC"/>
    <w:rsid w:val="009408CD"/>
    <w:rsid w:val="00942220"/>
    <w:rsid w:val="009433A7"/>
    <w:rsid w:val="0094523E"/>
    <w:rsid w:val="00945B49"/>
    <w:rsid w:val="00952BC7"/>
    <w:rsid w:val="00953877"/>
    <w:rsid w:val="009601A7"/>
    <w:rsid w:val="00971D17"/>
    <w:rsid w:val="009812E3"/>
    <w:rsid w:val="009840A0"/>
    <w:rsid w:val="00985BD7"/>
    <w:rsid w:val="00987522"/>
    <w:rsid w:val="00990772"/>
    <w:rsid w:val="00993755"/>
    <w:rsid w:val="00995B9E"/>
    <w:rsid w:val="009A0C96"/>
    <w:rsid w:val="009A1595"/>
    <w:rsid w:val="009A1A7C"/>
    <w:rsid w:val="009A64EA"/>
    <w:rsid w:val="009A7A7A"/>
    <w:rsid w:val="009B365D"/>
    <w:rsid w:val="009B609B"/>
    <w:rsid w:val="009B68E5"/>
    <w:rsid w:val="009B68F2"/>
    <w:rsid w:val="009C46C1"/>
    <w:rsid w:val="009C6340"/>
    <w:rsid w:val="009D0D6D"/>
    <w:rsid w:val="009D55BD"/>
    <w:rsid w:val="009D716F"/>
    <w:rsid w:val="009E17B9"/>
    <w:rsid w:val="009E30DE"/>
    <w:rsid w:val="009E5267"/>
    <w:rsid w:val="009E7AD9"/>
    <w:rsid w:val="00A052A3"/>
    <w:rsid w:val="00A1246D"/>
    <w:rsid w:val="00A132AE"/>
    <w:rsid w:val="00A15548"/>
    <w:rsid w:val="00A20A44"/>
    <w:rsid w:val="00A2391D"/>
    <w:rsid w:val="00A23B84"/>
    <w:rsid w:val="00A27256"/>
    <w:rsid w:val="00A31258"/>
    <w:rsid w:val="00A3561D"/>
    <w:rsid w:val="00A403C7"/>
    <w:rsid w:val="00A4067B"/>
    <w:rsid w:val="00A43B4E"/>
    <w:rsid w:val="00A45479"/>
    <w:rsid w:val="00A458E3"/>
    <w:rsid w:val="00A51D80"/>
    <w:rsid w:val="00A53D0F"/>
    <w:rsid w:val="00A561E3"/>
    <w:rsid w:val="00A56443"/>
    <w:rsid w:val="00A6017A"/>
    <w:rsid w:val="00A66022"/>
    <w:rsid w:val="00A72593"/>
    <w:rsid w:val="00A72EC7"/>
    <w:rsid w:val="00A811A1"/>
    <w:rsid w:val="00A81ABC"/>
    <w:rsid w:val="00A82E35"/>
    <w:rsid w:val="00A841F1"/>
    <w:rsid w:val="00A841FA"/>
    <w:rsid w:val="00A95292"/>
    <w:rsid w:val="00A965BA"/>
    <w:rsid w:val="00AA1412"/>
    <w:rsid w:val="00AB3F46"/>
    <w:rsid w:val="00AB53FA"/>
    <w:rsid w:val="00AC0A58"/>
    <w:rsid w:val="00AC35EC"/>
    <w:rsid w:val="00AC3D0A"/>
    <w:rsid w:val="00AC5F4B"/>
    <w:rsid w:val="00AD06B1"/>
    <w:rsid w:val="00AD306B"/>
    <w:rsid w:val="00AD4339"/>
    <w:rsid w:val="00AD5A10"/>
    <w:rsid w:val="00AE2557"/>
    <w:rsid w:val="00AE4885"/>
    <w:rsid w:val="00AE5089"/>
    <w:rsid w:val="00AE5830"/>
    <w:rsid w:val="00AE6FFC"/>
    <w:rsid w:val="00AE752E"/>
    <w:rsid w:val="00B02130"/>
    <w:rsid w:val="00B02DDF"/>
    <w:rsid w:val="00B03E40"/>
    <w:rsid w:val="00B06FEF"/>
    <w:rsid w:val="00B1094D"/>
    <w:rsid w:val="00B127AF"/>
    <w:rsid w:val="00B13599"/>
    <w:rsid w:val="00B1597E"/>
    <w:rsid w:val="00B2192A"/>
    <w:rsid w:val="00B46FCA"/>
    <w:rsid w:val="00B5112D"/>
    <w:rsid w:val="00B555EB"/>
    <w:rsid w:val="00B60CB2"/>
    <w:rsid w:val="00B63DC9"/>
    <w:rsid w:val="00B64490"/>
    <w:rsid w:val="00B67CE5"/>
    <w:rsid w:val="00B7435A"/>
    <w:rsid w:val="00B92B1E"/>
    <w:rsid w:val="00B93209"/>
    <w:rsid w:val="00BA358E"/>
    <w:rsid w:val="00BA72F6"/>
    <w:rsid w:val="00BA7E32"/>
    <w:rsid w:val="00BB361A"/>
    <w:rsid w:val="00BC1E81"/>
    <w:rsid w:val="00BD61D9"/>
    <w:rsid w:val="00BF0699"/>
    <w:rsid w:val="00BF2ED5"/>
    <w:rsid w:val="00C0749C"/>
    <w:rsid w:val="00C1299D"/>
    <w:rsid w:val="00C16F78"/>
    <w:rsid w:val="00C1736A"/>
    <w:rsid w:val="00C233D2"/>
    <w:rsid w:val="00C240BD"/>
    <w:rsid w:val="00C30AB7"/>
    <w:rsid w:val="00C313ED"/>
    <w:rsid w:val="00C31B35"/>
    <w:rsid w:val="00C34A61"/>
    <w:rsid w:val="00C40313"/>
    <w:rsid w:val="00C40B04"/>
    <w:rsid w:val="00C420B8"/>
    <w:rsid w:val="00C42FFD"/>
    <w:rsid w:val="00C44ECA"/>
    <w:rsid w:val="00C45864"/>
    <w:rsid w:val="00C47CDD"/>
    <w:rsid w:val="00C515CF"/>
    <w:rsid w:val="00C53A1C"/>
    <w:rsid w:val="00C54B88"/>
    <w:rsid w:val="00C61329"/>
    <w:rsid w:val="00C61D89"/>
    <w:rsid w:val="00C63E91"/>
    <w:rsid w:val="00C655D3"/>
    <w:rsid w:val="00C739D2"/>
    <w:rsid w:val="00C750A0"/>
    <w:rsid w:val="00C7550C"/>
    <w:rsid w:val="00C7745E"/>
    <w:rsid w:val="00C776C5"/>
    <w:rsid w:val="00C82F46"/>
    <w:rsid w:val="00C86BB7"/>
    <w:rsid w:val="00C8770D"/>
    <w:rsid w:val="00C93BBF"/>
    <w:rsid w:val="00C97854"/>
    <w:rsid w:val="00CA2A67"/>
    <w:rsid w:val="00CA57D3"/>
    <w:rsid w:val="00CB5048"/>
    <w:rsid w:val="00CB5076"/>
    <w:rsid w:val="00CB6E52"/>
    <w:rsid w:val="00CC63E1"/>
    <w:rsid w:val="00CD2165"/>
    <w:rsid w:val="00CD2682"/>
    <w:rsid w:val="00CD5AF1"/>
    <w:rsid w:val="00CD5C3B"/>
    <w:rsid w:val="00CE0846"/>
    <w:rsid w:val="00CE3863"/>
    <w:rsid w:val="00CE6A74"/>
    <w:rsid w:val="00CF0C36"/>
    <w:rsid w:val="00CF4C36"/>
    <w:rsid w:val="00CF5BF1"/>
    <w:rsid w:val="00D0157C"/>
    <w:rsid w:val="00D01816"/>
    <w:rsid w:val="00D043F8"/>
    <w:rsid w:val="00D0491B"/>
    <w:rsid w:val="00D07DA8"/>
    <w:rsid w:val="00D141B3"/>
    <w:rsid w:val="00D14B15"/>
    <w:rsid w:val="00D25A91"/>
    <w:rsid w:val="00D26565"/>
    <w:rsid w:val="00D326CB"/>
    <w:rsid w:val="00D3309B"/>
    <w:rsid w:val="00D331C8"/>
    <w:rsid w:val="00D33AE1"/>
    <w:rsid w:val="00D417C1"/>
    <w:rsid w:val="00D44C46"/>
    <w:rsid w:val="00D45DBA"/>
    <w:rsid w:val="00D46B60"/>
    <w:rsid w:val="00D542E3"/>
    <w:rsid w:val="00D564BE"/>
    <w:rsid w:val="00D5769A"/>
    <w:rsid w:val="00D65AE2"/>
    <w:rsid w:val="00D70B93"/>
    <w:rsid w:val="00D7308D"/>
    <w:rsid w:val="00D736E9"/>
    <w:rsid w:val="00D815CE"/>
    <w:rsid w:val="00D85A83"/>
    <w:rsid w:val="00D863B6"/>
    <w:rsid w:val="00D91306"/>
    <w:rsid w:val="00D94253"/>
    <w:rsid w:val="00D94908"/>
    <w:rsid w:val="00D94929"/>
    <w:rsid w:val="00D95561"/>
    <w:rsid w:val="00DA3329"/>
    <w:rsid w:val="00DA3DF4"/>
    <w:rsid w:val="00DA6EA6"/>
    <w:rsid w:val="00DA719A"/>
    <w:rsid w:val="00DB3E90"/>
    <w:rsid w:val="00DB5C50"/>
    <w:rsid w:val="00DC23CC"/>
    <w:rsid w:val="00DC265D"/>
    <w:rsid w:val="00DC60F1"/>
    <w:rsid w:val="00DE1AEF"/>
    <w:rsid w:val="00DF00F4"/>
    <w:rsid w:val="00DF3CFA"/>
    <w:rsid w:val="00E001E2"/>
    <w:rsid w:val="00E04BAF"/>
    <w:rsid w:val="00E10228"/>
    <w:rsid w:val="00E21FA9"/>
    <w:rsid w:val="00E22749"/>
    <w:rsid w:val="00E3033E"/>
    <w:rsid w:val="00E33D1D"/>
    <w:rsid w:val="00E34A84"/>
    <w:rsid w:val="00E550CF"/>
    <w:rsid w:val="00E615FF"/>
    <w:rsid w:val="00E64328"/>
    <w:rsid w:val="00E651B0"/>
    <w:rsid w:val="00E67FA6"/>
    <w:rsid w:val="00E71777"/>
    <w:rsid w:val="00E7373B"/>
    <w:rsid w:val="00E74C29"/>
    <w:rsid w:val="00E84617"/>
    <w:rsid w:val="00E86BBB"/>
    <w:rsid w:val="00E9030A"/>
    <w:rsid w:val="00E9084A"/>
    <w:rsid w:val="00E9110C"/>
    <w:rsid w:val="00EA5B87"/>
    <w:rsid w:val="00EB2649"/>
    <w:rsid w:val="00EB53F5"/>
    <w:rsid w:val="00EB5A03"/>
    <w:rsid w:val="00EC35AA"/>
    <w:rsid w:val="00EC420C"/>
    <w:rsid w:val="00EC446E"/>
    <w:rsid w:val="00EC4BD3"/>
    <w:rsid w:val="00EC7D41"/>
    <w:rsid w:val="00ED3DAD"/>
    <w:rsid w:val="00ED4E2B"/>
    <w:rsid w:val="00EE0E48"/>
    <w:rsid w:val="00EF0875"/>
    <w:rsid w:val="00EF275F"/>
    <w:rsid w:val="00EF3C5F"/>
    <w:rsid w:val="00EF5F98"/>
    <w:rsid w:val="00EF65C4"/>
    <w:rsid w:val="00EF6E7B"/>
    <w:rsid w:val="00EF7B3C"/>
    <w:rsid w:val="00F0097B"/>
    <w:rsid w:val="00F01307"/>
    <w:rsid w:val="00F01F70"/>
    <w:rsid w:val="00F02BCA"/>
    <w:rsid w:val="00F063C6"/>
    <w:rsid w:val="00F11AA7"/>
    <w:rsid w:val="00F1502A"/>
    <w:rsid w:val="00F21F02"/>
    <w:rsid w:val="00F24908"/>
    <w:rsid w:val="00F273F7"/>
    <w:rsid w:val="00F4001E"/>
    <w:rsid w:val="00F45259"/>
    <w:rsid w:val="00F4594C"/>
    <w:rsid w:val="00F54EAA"/>
    <w:rsid w:val="00F559F1"/>
    <w:rsid w:val="00F57B9B"/>
    <w:rsid w:val="00F7364A"/>
    <w:rsid w:val="00F81CA6"/>
    <w:rsid w:val="00F90911"/>
    <w:rsid w:val="00F94B44"/>
    <w:rsid w:val="00FA0A37"/>
    <w:rsid w:val="00FB4550"/>
    <w:rsid w:val="00FB4BF3"/>
    <w:rsid w:val="00FB55FA"/>
    <w:rsid w:val="00FC1D1B"/>
    <w:rsid w:val="00FC5623"/>
    <w:rsid w:val="00FC59DE"/>
    <w:rsid w:val="00FC7560"/>
    <w:rsid w:val="00FD0820"/>
    <w:rsid w:val="00FD1D43"/>
    <w:rsid w:val="00FD33D3"/>
    <w:rsid w:val="00FE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3E76B"/>
  <w15:chartTrackingRefBased/>
  <w15:docId w15:val="{C3C594CF-080C-4239-AED0-07DBE1B51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780"/>
    <w:pPr>
      <w:autoSpaceDE w:val="0"/>
      <w:autoSpaceDN w:val="0"/>
      <w:adjustRightInd w:val="0"/>
      <w:spacing w:before="240"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780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/>
      <w:b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3780"/>
    <w:pPr>
      <w:keepNext/>
      <w:keepLines/>
      <w:spacing w:before="160" w:after="12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3780"/>
    <w:pPr>
      <w:spacing w:line="216" w:lineRule="auto"/>
      <w:ind w:left="142" w:right="-505"/>
      <w:jc w:val="center"/>
      <w:outlineLvl w:val="2"/>
    </w:pPr>
    <w:rPr>
      <w:rFonts w:ascii="Montserrat" w:hAnsi="Montserrat" w:cs="Arial"/>
      <w:color w:val="FFFFFF" w:themeColor="background1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4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472"/>
  </w:style>
  <w:style w:type="paragraph" w:styleId="Footer">
    <w:name w:val="footer"/>
    <w:basedOn w:val="Normal"/>
    <w:link w:val="FooterChar"/>
    <w:uiPriority w:val="99"/>
    <w:unhideWhenUsed/>
    <w:rsid w:val="002224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472"/>
  </w:style>
  <w:style w:type="paragraph" w:customStyle="1" w:styleId="Default">
    <w:name w:val="Default"/>
    <w:rsid w:val="000630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AU"/>
    </w:rPr>
  </w:style>
  <w:style w:type="paragraph" w:customStyle="1" w:styleId="AdviceHeading1">
    <w:name w:val="Advice Heading 1"/>
    <w:basedOn w:val="Heading1"/>
    <w:rsid w:val="00063054"/>
    <w:pPr>
      <w:keepLines w:val="0"/>
      <w:spacing w:after="60"/>
    </w:pPr>
    <w:rPr>
      <w:rFonts w:ascii="Arial" w:eastAsia="Times New Roman" w:hAnsi="Arial" w:cs="Times New Roman"/>
      <w:b w:val="0"/>
      <w:bCs/>
      <w:kern w:val="32"/>
      <w:szCs w:val="20"/>
    </w:rPr>
  </w:style>
  <w:style w:type="paragraph" w:customStyle="1" w:styleId="AdviceHeading2">
    <w:name w:val="Advice Heading 2"/>
    <w:basedOn w:val="Normal"/>
    <w:qFormat/>
    <w:rsid w:val="007C3780"/>
    <w:pPr>
      <w:spacing w:line="216" w:lineRule="auto"/>
      <w:ind w:left="142" w:right="-505"/>
      <w:jc w:val="center"/>
    </w:pPr>
    <w:rPr>
      <w:rFonts w:ascii="Montserrat" w:hAnsi="Montserrat" w:cs="Arial"/>
      <w:color w:val="FFFFFF" w:themeColor="background1"/>
      <w:sz w:val="36"/>
      <w:szCs w:val="36"/>
    </w:rPr>
  </w:style>
  <w:style w:type="paragraph" w:styleId="ListParagraph">
    <w:name w:val="List Paragraph"/>
    <w:basedOn w:val="Normal"/>
    <w:uiPriority w:val="34"/>
    <w:qFormat/>
    <w:rsid w:val="0006305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3780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7C3780"/>
    <w:rPr>
      <w:rFonts w:eastAsiaTheme="majorEastAsia" w:cstheme="majorBidi"/>
      <w:b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30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054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C3780"/>
    <w:pPr>
      <w:keepNext/>
      <w:keepLines/>
      <w:spacing w:before="160" w:after="120"/>
      <w:outlineLvl w:val="0"/>
    </w:pPr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7C3780"/>
    <w:rPr>
      <w:rFonts w:asciiTheme="majorHAnsi" w:eastAsiaTheme="majorEastAsia" w:hAnsiTheme="majorHAnsi" w:cstheme="majorBid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C3780"/>
    <w:rPr>
      <w:rFonts w:ascii="Montserrat" w:eastAsia="Times New Roman" w:hAnsi="Montserrat" w:cs="Arial"/>
      <w:color w:val="FFFFFF" w:themeColor="background1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70929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270929"/>
    <w:pPr>
      <w:autoSpaceDE/>
      <w:autoSpaceDN/>
      <w:adjustRightInd/>
      <w:spacing w:before="200" w:after="120" w:line="280" w:lineRule="exact"/>
    </w:pPr>
    <w:rPr>
      <w:rFonts w:eastAsiaTheme="minorHAnsi" w:cs="Calibri"/>
      <w:color w:val="000000"/>
      <w:sz w:val="22"/>
      <w:szCs w:val="22"/>
      <w:lang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270929"/>
    <w:rPr>
      <w:rFonts w:ascii="Calibri" w:hAnsi="Calibri" w:cs="Calibri"/>
      <w:color w:val="000000"/>
      <w:lang w:eastAsia="en-AU"/>
    </w:rPr>
  </w:style>
  <w:style w:type="paragraph" w:customStyle="1" w:styleId="Style1">
    <w:name w:val="Style1"/>
    <w:basedOn w:val="Normal"/>
    <w:link w:val="Style1Char"/>
    <w:qFormat/>
    <w:rsid w:val="00990772"/>
    <w:rPr>
      <w:rFonts w:asciiTheme="minorHAnsi" w:hAnsiTheme="minorHAnsi" w:cstheme="minorHAnsi"/>
      <w:b/>
      <w:bCs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990772"/>
    <w:rPr>
      <w:rFonts w:eastAsia="Times New Roman" w:cstheme="minorHAnsi"/>
      <w:b/>
      <w:bCs/>
      <w:sz w:val="32"/>
      <w:szCs w:val="32"/>
    </w:rPr>
  </w:style>
  <w:style w:type="paragraph" w:customStyle="1" w:styleId="Style2">
    <w:name w:val="Style2"/>
    <w:basedOn w:val="Normal"/>
    <w:qFormat/>
    <w:rsid w:val="00990772"/>
    <w:rPr>
      <w:rFonts w:asciiTheme="minorHAnsi" w:hAnsiTheme="minorHAnsi" w:cstheme="minorHAnsi"/>
      <w:b/>
      <w:bCs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7244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102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52C5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C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C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C5A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C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C5A"/>
    <w:rPr>
      <w:rFonts w:ascii="Calibri" w:eastAsia="Times New Roman" w:hAnsi="Calibri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252BC6"/>
    <w:rPr>
      <w:b/>
      <w:bCs/>
    </w:rPr>
  </w:style>
  <w:style w:type="character" w:styleId="Emphasis">
    <w:name w:val="Emphasis"/>
    <w:basedOn w:val="DefaultParagraphFont"/>
    <w:uiPriority w:val="20"/>
    <w:qFormat/>
    <w:rsid w:val="00586FA5"/>
    <w:rPr>
      <w:i/>
      <w:iCs/>
    </w:rPr>
  </w:style>
  <w:style w:type="paragraph" w:customStyle="1" w:styleId="AdviceHeading3">
    <w:name w:val="Advice Heading 3"/>
    <w:basedOn w:val="Normal"/>
    <w:next w:val="Normal"/>
    <w:qFormat/>
    <w:rsid w:val="00795D8F"/>
    <w:pPr>
      <w:spacing w:line="216" w:lineRule="auto"/>
      <w:ind w:left="142" w:right="-505"/>
      <w:jc w:val="center"/>
    </w:pPr>
    <w:rPr>
      <w:rFonts w:ascii="Montserrat" w:hAnsi="Montserrat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7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3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erritoryrecords.act.gov.au/__data/assets/pdf_file/0008/2289797/Assess-Vital-records.pdf" TargetMode="External"/><Relationship Id="rId18" Type="http://schemas.openxmlformats.org/officeDocument/2006/relationships/hyperlink" Target="https://www.treasury.act.gov.au/insurance-and-risk-management/contact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creativecommons.org/licenses/by/4.0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iccm.org.au/disaster/disaster-preparedness-calendar/" TargetMode="External"/><Relationship Id="rId17" Type="http://schemas.openxmlformats.org/officeDocument/2006/relationships/hyperlink" Target="https://esa.act.gov.au/be-emergency-ready/preparing-emergencies" TargetMode="External"/><Relationship Id="rId25" Type="http://schemas.openxmlformats.org/officeDocument/2006/relationships/hyperlink" Target="mailto:TRO@act.gov.au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worksafe.act.gov.au/" TargetMode="External"/><Relationship Id="rId20" Type="http://schemas.openxmlformats.org/officeDocument/2006/relationships/hyperlink" Target="https://blueshieldaustralia.org.au/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rritoryrecords.act.gov.au/__data/assets/pdf_file/0011/2029295/Territory-Records-Office-Principle-5-Protect-Principle-Guideline-June-2022.pdf" TargetMode="External"/><Relationship Id="rId24" Type="http://schemas.openxmlformats.org/officeDocument/2006/relationships/hyperlink" Target="http://www.territoryrecords.act.gov.a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ctgovernment.sharepoint.com/sites/Extranet-TRO" TargetMode="External"/><Relationship Id="rId23" Type="http://schemas.openxmlformats.org/officeDocument/2006/relationships/hyperlink" Target="https://creativecommons.org/licenses/by/4.0/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territoryrecords.act.gov.au/__data/assets/pdf_file/0008/2289797/Assess-Vital-records.pdf" TargetMode="External"/><Relationship Id="rId19" Type="http://schemas.openxmlformats.org/officeDocument/2006/relationships/hyperlink" Target="https://aiccm.org.au/disaster/" TargetMode="External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DigitalRecordsHelpdesk@act.gov.au" TargetMode="External"/><Relationship Id="rId14" Type="http://schemas.openxmlformats.org/officeDocument/2006/relationships/hyperlink" Target="https://www.territoryrecords.act.gov.au/standards/Protect-Guideline" TargetMode="External"/><Relationship Id="rId22" Type="http://schemas.openxmlformats.org/officeDocument/2006/relationships/image" Target="media/image1.png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hyperlink" Target="https://actss.service-now.com/ddts?id=knwl_article_ddts&amp;sys_id=11cf3e29dbb1f0d0af215ec5f39619f5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rleyx%20paton\AppData\Local\Micro%20Focus\Content%20Manager\TEMP\HPTRIM.5488\CM24%20112100%20%20TRO%20Advic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FE90E-9D59-4A7C-A7F3-571CC125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CM24 112100  TRO Advice TEMPLATE</Template>
  <TotalTime>11</TotalTime>
  <Pages>4</Pages>
  <Words>1485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9931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Paton, KimberleyX</dc:creator>
  <cp:keywords/>
  <dc:description/>
  <cp:lastModifiedBy>Tung, Ko-Li</cp:lastModifiedBy>
  <cp:revision>4</cp:revision>
  <cp:lastPrinted>2025-06-30T03:11:00Z</cp:lastPrinted>
  <dcterms:created xsi:type="dcterms:W3CDTF">2025-08-04T07:51:00Z</dcterms:created>
  <dcterms:modified xsi:type="dcterms:W3CDTF">2025-11-18T00:51:00Z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2024-09-24T02:58:33Z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f71966ab-22f9-455f-998d-a81d0e12ac09</vt:lpwstr>
  </property>
  <property fmtid="{D5CDD505-2E9C-101B-9397-08002B2CF9AE}" pid="8" name="MSIP_Label_69af8531-eb46-4968-8cb3-105d2f5ea87e_ContentBits">
    <vt:lpwstr>0</vt:lpwstr>
  </property>
</Properties>
</file>